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40" w:after="0"/>
        <w:rPr>
          <w:rFonts w:eastAsia="Arial Unicode MS" w:cs="Calibri" w:cstheme="minorHAnsi"/>
          <w:b/>
          <w:bCs/>
          <w:color w:val="auto"/>
          <w:sz w:val="14"/>
          <w:szCs w:val="14"/>
          <w:lang w:eastAsia="pl-PL"/>
        </w:rPr>
      </w:pPr>
      <w:r>
        <w:rPr>
          <w:rStyle w:val="Nagwek1Znak"/>
          <w:rFonts w:eastAsia="Arial Unicode MS"/>
          <w:b w:val="false"/>
          <w:bCs w:val="false"/>
          <w:color w:val="auto"/>
          <w:sz w:val="36"/>
          <w:szCs w:val="36"/>
        </w:rPr>
        <w:t>Umowa nr [●]/[●]</w:t>
      </w:r>
      <w:r>
        <w:rPr>
          <w:rFonts w:eastAsia="Arial Unicode MS" w:cs="Calibri" w:cstheme="minorHAnsi"/>
          <w:b/>
          <w:bCs/>
          <w:color w:val="auto"/>
          <w:sz w:val="14"/>
          <w:szCs w:val="14"/>
          <w:lang w:eastAsia="pl-PL"/>
        </w:rPr>
        <w:t xml:space="preserve"> </w:t>
      </w:r>
    </w:p>
    <w:p>
      <w:pPr>
        <w:pStyle w:val="Normal"/>
        <w:spacing w:lineRule="auto" w:line="259" w:before="60" w:after="60"/>
        <w:rPr>
          <w:rFonts w:eastAsia="Arial Unicode MS" w:cs="Calibri" w:cstheme="minorHAnsi"/>
          <w:lang w:eastAsia="pl-PL"/>
        </w:rPr>
      </w:pPr>
      <w:r>
        <w:rPr>
          <w:rFonts w:eastAsia="Arial Unicode MS" w:cs="Calibri" w:cstheme="minorHAnsi"/>
          <w:lang w:eastAsia="pl-PL"/>
        </w:rPr>
        <w:br/>
        <w:t>zawarta w [●] w dniu [●]* / w formie elektronicznej**, pomiędzy:</w:t>
      </w:r>
    </w:p>
    <w:p>
      <w:pPr>
        <w:pStyle w:val="Normal"/>
        <w:spacing w:lineRule="auto" w:line="259" w:before="60" w:after="60"/>
        <w:jc w:val="both"/>
        <w:rPr>
          <w:rFonts w:eastAsia="Arial Unicode MS" w:cs="Calibri" w:cstheme="minorHAnsi"/>
          <w:lang w:eastAsia="pl-PL"/>
        </w:rPr>
      </w:pPr>
      <w:r>
        <w:rPr>
          <w:rFonts w:eastAsia="Arial Unicode MS" w:cs="Calibri" w:cstheme="minorHAnsi"/>
          <w:b/>
          <w:bCs/>
          <w:lang w:eastAsia="pl-PL"/>
        </w:rPr>
        <w:t>Skarbem Państwa - Ministrem Sprawiedliwości</w:t>
      </w:r>
      <w:r>
        <w:rPr>
          <w:rFonts w:eastAsia="Arial Unicode MS" w:cs="Calibri" w:cstheme="minorHAnsi"/>
          <w:lang w:eastAsia="pl-PL"/>
        </w:rPr>
        <w:t xml:space="preserve">, adres do doręczeń: Aleje Ujazdowskie 11, </w:t>
        <w:br/>
        <w:t>00-567 Warszawa, zwanym dalej „</w:t>
      </w:r>
      <w:r>
        <w:rPr>
          <w:rFonts w:eastAsia="Arial Unicode MS" w:cs="Calibri" w:cstheme="minorHAnsi"/>
          <w:b/>
          <w:bCs/>
          <w:lang w:eastAsia="pl-PL"/>
        </w:rPr>
        <w:t>Zamawiającym</w:t>
      </w:r>
      <w:r>
        <w:rPr>
          <w:rFonts w:eastAsia="Arial Unicode MS" w:cs="Calibri" w:cstheme="minorHAnsi"/>
          <w:lang w:eastAsia="pl-PL"/>
        </w:rPr>
        <w:t>” – w imieniu którego działa:</w:t>
      </w:r>
    </w:p>
    <w:p>
      <w:pPr>
        <w:pStyle w:val="Normal"/>
        <w:spacing w:lineRule="auto" w:line="259" w:before="60" w:after="60"/>
        <w:jc w:val="both"/>
        <w:rPr>
          <w:rFonts w:eastAsia="Arial Unicode MS" w:cs="Calibri" w:cstheme="minorHAnsi"/>
          <w:lang w:eastAsia="pl-PL"/>
        </w:rPr>
      </w:pPr>
      <w:r>
        <w:rPr>
          <w:rFonts w:cs="Calibri" w:cstheme="minorHAnsi"/>
        </w:rPr>
        <w:t>[●]</w:t>
      </w:r>
      <w:r>
        <w:rPr>
          <w:rFonts w:eastAsia="Arial Unicode MS" w:cs="Calibri" w:cstheme="minorHAnsi"/>
          <w:lang w:eastAsia="pl-PL"/>
        </w:rPr>
        <w:t xml:space="preserve"> – </w:t>
      </w:r>
      <w:r>
        <w:rPr>
          <w:rFonts w:cs="Calibri" w:cstheme="minorHAnsi"/>
        </w:rPr>
        <w:t>[●]</w:t>
      </w:r>
      <w:r>
        <w:rPr>
          <w:rFonts w:eastAsia="Arial Unicode MS" w:cs="Calibri" w:cstheme="minorHAnsi"/>
          <w:lang w:eastAsia="pl-PL"/>
        </w:rPr>
        <w:t xml:space="preserve">, na podstawie </w:t>
      </w:r>
      <w:r>
        <w:rPr>
          <w:rFonts w:cs="Calibri" w:cstheme="minorHAnsi"/>
        </w:rPr>
        <w:t>[●]</w:t>
      </w:r>
      <w:r>
        <w:rPr>
          <w:rFonts w:eastAsia="Arial Unicode MS" w:cs="Calibri" w:cstheme="minorHAnsi"/>
          <w:lang w:eastAsia="pl-PL"/>
        </w:rPr>
        <w:t>,</w:t>
      </w:r>
    </w:p>
    <w:p>
      <w:pPr>
        <w:pStyle w:val="Normal"/>
        <w:spacing w:lineRule="auto" w:line="259" w:before="60" w:after="60"/>
        <w:jc w:val="both"/>
        <w:rPr>
          <w:rFonts w:eastAsia="Arial Unicode MS" w:cs="Calibri" w:cstheme="minorHAnsi"/>
          <w:lang w:eastAsia="pl-PL"/>
        </w:rPr>
      </w:pPr>
      <w:r>
        <w:rPr>
          <w:rFonts w:eastAsia="Arial Unicode MS" w:cs="Calibri" w:cstheme="minorHAnsi"/>
          <w:lang w:eastAsia="pl-PL"/>
        </w:rPr>
        <w:t>a</w:t>
      </w:r>
    </w:p>
    <w:p>
      <w:pPr>
        <w:pStyle w:val="Normal"/>
        <w:spacing w:lineRule="auto" w:line="259" w:before="60" w:after="60"/>
        <w:jc w:val="both"/>
        <w:rPr>
          <w:rFonts w:eastAsia="Arial Unicode MS" w:cs="Calibri" w:cstheme="minorHAnsi"/>
          <w:lang w:eastAsia="pl-PL"/>
        </w:rPr>
      </w:pPr>
      <w:r>
        <w:rPr>
          <w:rFonts w:cs="Calibri" w:cstheme="minorHAnsi"/>
        </w:rPr>
        <w:t>[●]</w:t>
      </w:r>
      <w:r>
        <w:rPr>
          <w:rFonts w:eastAsia="Arial Unicode MS" w:cs="Calibri" w:cstheme="minorHAnsi"/>
          <w:lang w:eastAsia="pl-PL"/>
        </w:rPr>
        <w:t>, zwaną dalej „</w:t>
      </w:r>
      <w:r>
        <w:rPr>
          <w:rFonts w:eastAsia="Arial Unicode MS" w:cs="Calibri" w:cstheme="minorHAnsi"/>
          <w:b/>
          <w:bCs/>
          <w:lang w:eastAsia="pl-PL"/>
        </w:rPr>
        <w:t>Wykonawcą</w:t>
      </w:r>
      <w:r>
        <w:rPr>
          <w:rFonts w:eastAsia="Arial Unicode MS" w:cs="Calibri" w:cstheme="minorHAnsi"/>
          <w:lang w:eastAsia="pl-PL"/>
        </w:rPr>
        <w:t>”.</w:t>
      </w:r>
    </w:p>
    <w:p>
      <w:pPr>
        <w:pStyle w:val="Normal"/>
        <w:spacing w:lineRule="auto" w:line="259" w:before="60" w:after="60"/>
        <w:jc w:val="both"/>
        <w:rPr>
          <w:rFonts w:eastAsia="Times New Roman" w:cs="Calibri" w:cstheme="minorHAnsi"/>
          <w:lang w:eastAsia="pl-PL"/>
        </w:rPr>
      </w:pPr>
      <w:r>
        <w:rPr>
          <w:rFonts w:eastAsia="Arial Unicode MS" w:cs="Calibri" w:cstheme="minorHAnsi"/>
          <w:lang w:eastAsia="pl-PL"/>
        </w:rPr>
        <w:t>Zamawiający i Wykonawca mogą być też zwani każdy z osobna „Stroną” lub łącznie „Stronami”.</w:t>
      </w:r>
    </w:p>
    <w:p>
      <w:pPr>
        <w:pStyle w:val="Normal"/>
        <w:spacing w:lineRule="auto" w:line="259" w:before="60" w:after="60"/>
        <w:jc w:val="center"/>
        <w:rPr>
          <w:rFonts w:cs="Calibri" w:cstheme="minorHAnsi"/>
          <w:b/>
        </w:rPr>
      </w:pPr>
      <w:r>
        <w:rPr>
          <w:rFonts w:cs="Calibri" w:cstheme="minorHAnsi"/>
          <w:b/>
        </w:rPr>
        <w:t>Preambuła</w:t>
      </w:r>
    </w:p>
    <w:p>
      <w:pPr>
        <w:pStyle w:val="Normal"/>
        <w:spacing w:lineRule="auto" w:line="259" w:before="60" w:after="60"/>
        <w:jc w:val="both"/>
        <w:rPr>
          <w:rFonts w:eastAsia="Times New Roman" w:cs="Calibri" w:cstheme="minorHAnsi"/>
          <w:lang w:eastAsia="pl-PL"/>
        </w:rPr>
      </w:pPr>
      <w:r>
        <w:rPr>
          <w:rFonts w:eastAsia="Times New Roman" w:cs="Calibri" w:cstheme="minorHAnsi"/>
          <w:lang w:eastAsia="pl-PL"/>
        </w:rPr>
        <w:t xml:space="preserve">W wyniku rozstrzygniętego postępowania o udzielenie zamówienia nr </w:t>
      </w:r>
      <w:r>
        <w:rPr>
          <w:rFonts w:eastAsia="Arial Unicode MS" w:cs="Calibri" w:hint="eastAsia" w:cstheme="minorHAnsi"/>
          <w:lang w:eastAsia="pl-PL"/>
        </w:rPr>
        <w:t>[</w:t>
      </w:r>
      <w:r>
        <w:rPr>
          <w:rFonts w:eastAsia="Arial Unicode MS" w:cs="Calibri" w:cstheme="minorHAnsi"/>
          <w:lang w:eastAsia="pl-PL"/>
        </w:rPr>
        <w:t>●</w:t>
      </w:r>
      <w:r>
        <w:rPr>
          <w:rFonts w:eastAsia="Arial Unicode MS" w:cs="Calibri" w:hint="eastAsia" w:cstheme="minorHAnsi"/>
          <w:lang w:eastAsia="pl-PL"/>
        </w:rPr>
        <w:t>]</w:t>
      </w:r>
      <w:r>
        <w:rPr>
          <w:rFonts w:eastAsia="Arial Unicode MS" w:cs="Calibri" w:cstheme="minorHAnsi"/>
          <w:lang w:eastAsia="pl-PL"/>
        </w:rPr>
        <w:t xml:space="preserve"> na</w:t>
      </w:r>
      <w:r>
        <w:rPr>
          <w:rFonts w:eastAsia="Times New Roman" w:cs="Calibri" w:cstheme="minorHAnsi"/>
          <w:lang w:eastAsia="pl-PL"/>
        </w:rPr>
        <w:t xml:space="preserve"> „</w:t>
      </w:r>
      <w:r>
        <w:rPr>
          <w:rFonts w:eastAsia="Arial Unicode MS" w:cs="Calibri" w:hint="eastAsia" w:cstheme="minorHAnsi"/>
          <w:lang w:eastAsia="pl-PL"/>
        </w:rPr>
        <w:t>[</w:t>
      </w:r>
      <w:r>
        <w:rPr>
          <w:rFonts w:eastAsia="Arial Unicode MS" w:cs="Calibri" w:cstheme="minorHAnsi"/>
          <w:lang w:eastAsia="pl-PL"/>
        </w:rPr>
        <w:t>●</w:t>
      </w:r>
      <w:r>
        <w:rPr>
          <w:rFonts w:eastAsia="Arial Unicode MS" w:cs="Calibri" w:hint="eastAsia" w:cstheme="minorHAnsi"/>
          <w:lang w:eastAsia="pl-PL"/>
        </w:rPr>
        <w:t>]</w:t>
      </w:r>
      <w:r>
        <w:rPr>
          <w:rFonts w:eastAsia="Times New Roman" w:cs="Calibri" w:cstheme="minorHAnsi"/>
          <w:lang w:eastAsia="pl-PL"/>
        </w:rPr>
        <w:t>”</w:t>
      </w:r>
      <w:r>
        <w:rPr>
          <w:rFonts w:eastAsia="Arial Unicode MS" w:cs="Calibri" w:cstheme="minorHAnsi"/>
          <w:lang w:eastAsia="pl-PL"/>
        </w:rPr>
        <w:t xml:space="preserve">, </w:t>
      </w:r>
      <w:r>
        <w:rPr>
          <w:rFonts w:eastAsia="Times New Roman" w:cs="Calibri" w:cstheme="minorHAnsi"/>
          <w:lang w:eastAsia="pl-PL"/>
        </w:rPr>
        <w:t>przeprowadzonego w trybie podstawowym, o którym mowa w ustawie z dnia 11 września 2019 r. - Prawo zamówień publicznych, dalej zwanej „</w:t>
      </w:r>
      <w:r>
        <w:rPr>
          <w:rFonts w:eastAsia="Times New Roman" w:cs="Calibri" w:cstheme="minorHAnsi"/>
          <w:b/>
          <w:bCs/>
          <w:lang w:eastAsia="pl-PL"/>
        </w:rPr>
        <w:t>ustawą PZP</w:t>
      </w:r>
      <w:r>
        <w:rPr>
          <w:rFonts w:eastAsia="Times New Roman" w:cs="Calibri" w:cstheme="minorHAnsi"/>
          <w:lang w:eastAsia="pl-PL"/>
        </w:rPr>
        <w:t>”, Strony zawierają Umowę o następującej treści:</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Definicje</w:t>
      </w:r>
    </w:p>
    <w:p>
      <w:pPr>
        <w:pStyle w:val="Default"/>
        <w:spacing w:lineRule="auto" w:line="259" w:before="60" w:after="6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Ilekroć niniejsza Umowa posługuje się pojęciem:</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Atak DDoS (ang. Distributed Denial of Service) – rozumie się atak na systemy komputerowe dostawców treści i usług internetowych lub serwisy internetowe udostępnione przez Zamawiającego w sieci Internet, polegający na próbie uniemożliwienia działania systemów, usług lub serwisów poprzez zajęcie wolnych zasobów;</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Awaria – rozumie się przez to uszkodzenie powodujące przerwę lub uniemożliwiające korzystanie przez Zamawiającego z Usługi;</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bookmarkStart w:id="0" w:name="_Hlk127201255"/>
      <w:r>
        <w:rPr>
          <w:rFonts w:cs="Calibri" w:ascii="Calibri" w:hAnsi="Calibri" w:asciiTheme="minorHAnsi" w:cstheme="minorHAnsi" w:hAnsiTheme="minorHAnsi"/>
          <w:sz w:val="22"/>
          <w:szCs w:val="22"/>
        </w:rPr>
        <w:t>Czas niedostępności (CN) – rozumie się przez to wyrażony w godzinach parametr określający sumę wszystkich CUA w danym miesiącu kalendarzowym, zaokrągloną w górę do pełnych godzin;</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(CR)</w:t>
      </w:r>
      <w:r>
        <w:rPr/>
        <w:t xml:space="preserve"> </w:t>
      </w:r>
      <w:r>
        <w:rPr>
          <w:rFonts w:cs="Calibri" w:ascii="Calibri" w:hAnsi="Calibri" w:asciiTheme="minorHAnsi" w:cstheme="minorHAnsi" w:hAnsiTheme="minorHAnsi"/>
          <w:sz w:val="22"/>
          <w:szCs w:val="22"/>
        </w:rPr>
        <w:t>– rozumie się przez to czas od wykrycia Awarii przez Wykonawcę lub od zgłoszenia Awarii przez Zamawiającego do podjęcia przez Wykonawcę niezbędnych działań naprawczych, zgodnie z § 5 Umowy;</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na Atak DDoS (CRA) – rozumie się</w:t>
      </w:r>
      <w:r>
        <w:rPr/>
        <w:t xml:space="preserve"> </w:t>
      </w:r>
      <w:r>
        <w:rPr>
          <w:rFonts w:cs="Calibri" w:ascii="Calibri" w:hAnsi="Calibri" w:asciiTheme="minorHAnsi" w:cstheme="minorHAnsi" w:hAnsiTheme="minorHAnsi"/>
          <w:sz w:val="22"/>
          <w:szCs w:val="22"/>
        </w:rPr>
        <w:t>przez to czas, jaki upłynie od wykrycia Ataku DDoS do skutecznego poinformowania Zamawiającego o tym Ataku przez ustalone kanały komunikacji (telefonicznie lub pocztą elektroniczną);</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na zlecenie oczyszczania ruchu (CRZ) – rozumie się przez to czas, jaki upłynie od przekazania zlecenia przez Zamawiającego z żądaniem włączenia lub wyłączenia oczyszczania po zarejestrowanym Ataku DDoS;</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usunięcia Awarii (CUA) – rozumie się przez to czas usunięcia Awarii, liczony od chwili (godzina.minuta) wykrycia Awarii przez Wykonawcę lub zgłoszenia przez Zamawiającego, zgodnie z § 5 Umowy, do chwili (godzina.minuta) jej usunięcia;</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Dostępność miesięczna (DM) – rozumie się przez to</w:t>
      </w:r>
      <w:r>
        <w:rPr/>
        <w:t xml:space="preserve"> </w:t>
      </w:r>
      <w:r>
        <w:rPr>
          <w:rFonts w:cs="Calibri" w:ascii="Calibri" w:hAnsi="Calibri" w:asciiTheme="minorHAnsi" w:cstheme="minorHAnsi" w:hAnsiTheme="minorHAnsi"/>
          <w:sz w:val="22"/>
          <w:szCs w:val="22"/>
        </w:rPr>
        <w:t xml:space="preserve">zdolność do transmisji danych z wykorzystaniem protokołu internetowego pomiędzy urządzeniami punktów zakończenia sieci Wykonawcy a routerem brzegowym Zamawiającego oraz zapewnienie pozostałych świadczeń wchodzących w zakres Usługi; parametr ten wyrażony jest w procentach, a wyliczany zgodnie </w:t>
        <w:br/>
        <w:t>z wzorem: DM=(720 - CN)/720*100%;</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dzień roboczy – rozumie się przez to dzień przypadający od poniedziałku do piątku, z wyłączeniem dni ustawowo wolnych od pracy;</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Informacje – dane techniczne, technologiczne, organizacyjne, w szczególności dotyczące struktury, konfiguracji i systemów zabezpieczeń, lub inne informacje poufne, czyli takie, które jako całość lub w szczególnym zestawieniu i zbiorze ich elementów nie są powszechnie znane osobom zwykle zajmującym się tym rodzajem informacji albo nie są łatwo dostępne dla takich osób i co do których uprawniony do korzystania z informacji lub rozporządzania nimi podjął, przy zachowaniu należytej staranności, działania w celu utrzymania ich w poufności),</w:t>
      </w:r>
      <w:r>
        <w:rPr/>
        <w:t xml:space="preserve"> </w:t>
      </w:r>
      <w:r>
        <w:rPr>
          <w:rFonts w:cs="Calibri" w:ascii="Calibri" w:hAnsi="Calibri" w:asciiTheme="minorHAnsi" w:cstheme="minorHAnsi" w:hAnsiTheme="minorHAnsi"/>
          <w:sz w:val="22"/>
          <w:szCs w:val="22"/>
        </w:rPr>
        <w:t>niezależnie od formy przekazania tych informacji oraz ich źródła;</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Łącze – rozumie się przez to połączenie zestawione pomiędzy routerem brzegowym Zamawiającego a siecią Wykonawcy, w celu korzystania z Usługi;</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Okno serwisowe – rozumie się przez to uzgodniony z Zamawiającym z wyprzedzeniem co najmniej 4 dni roboczych przedział czasu przeznaczony na wykonywanie prac konserwacyjnych lub modernizacyjnych w sieci Wykonawcy, w którym może wystąpić przerwa w świadczeniu Usługi. Zamawiający dopuszcza nie więcej niż dwa Okna serwisowe w miesiącu kalendarzowym, przy czym muszą one przypadać w godzinach od 00.00 do 4.00 rano lub w soboty, niedziele i w dni ustawowo wolne od pracy w godzinach od 22.00 do 6.00 rano;</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Umowa – rozumie się przez to niniejszą umowę;</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Usługa – rozumie się przez to zapewnienie Zamawiającemu dostępu do sieci Internet w oparciu o zestawione i utrzymywane przez Wykonawcę łącze dostępowe wraz z niezbędnymi urządzeniami teletransmisyjnymi wraz usługą ochrony przed Atakami DDoS.</w:t>
      </w:r>
      <w:bookmarkEnd w:id="0"/>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Przedmiot Umowy</w:t>
      </w:r>
    </w:p>
    <w:p>
      <w:pPr>
        <w:pStyle w:val="Normal"/>
        <w:numPr>
          <w:ilvl w:val="0"/>
          <w:numId w:val="1"/>
        </w:numPr>
        <w:tabs>
          <w:tab w:val="clear" w:pos="709"/>
        </w:tabs>
        <w:spacing w:lineRule="auto" w:line="259" w:before="60" w:after="60"/>
        <w:ind w:hanging="360" w:left="357"/>
        <w:jc w:val="both"/>
        <w:rPr>
          <w:rFonts w:eastAsia="Times New Roman" w:cs="Calibri" w:cstheme="minorHAnsi"/>
          <w:lang w:eastAsia="pl-PL"/>
        </w:rPr>
      </w:pPr>
      <w:r>
        <w:rPr>
          <w:rFonts w:eastAsia="Times New Roman" w:cs="Calibri" w:cstheme="minorHAnsi"/>
          <w:lang w:eastAsia="pl-PL"/>
        </w:rPr>
        <w:t>Przedmiotem Umowy jest świadczenie przez Wykonawcę, na rzecz Zamawiającego usługi dostępu do sieci Internet, obejmujące:</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zestawienie, uruchomienie i udostępnienie przez całą dobę, przez cały okres realizacji Umowy, stałego symetrycznego łącza dostępowego, wraz z niezbędnym do podłączenia do infrastruktury Zamawiającego sprzętem, w tym urządzeniami teletransmisyjnymi (m.in. w tym routery, przełącznice), zapewniającego szerokopasmowy dostęp do Internetu o przepustowości gwarantowanej co najmniej 3 Gb/s (+/-5%), przyłączonego po stronie Zamawiającego do routera brzegowego za pośrednictwem interfejsu SFP-10G-LR, zlokalizowanego w obiekcie na terenie miasta stołecznego Warszawy;</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dostęp do wszystkich usług i serwisów internetowych krajowych i zagranicznych;</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obsługę adresów IPv4 PI (Provider Independent) posiadanych przez Zamawiającego;</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obsługę ruchu generowanego przez Zamawiającego przy pomocy dynamicznego protokołu routingu BGP (Border Gateway Protocol);</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konfigurację routera brzegowego w siedzibie Zamawiającego w zakresie przyłączenia łącza Internetowego (zestawienie sesji BGP) w porozumieniu z obecnym dostawcą usługi dostępu do Internetu;</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utrzymanie secondary DNS dla domeny ms.gov.pl;</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zapewnienie Zamawiającemu możliwości całodobowego monitoringu łącza i jego wykorzystania, np. poprzez MRTG (ang. Multi Router Traffic Grapher);</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t>zapewnienie Zamawiającemu możliwości całodobowego monitoringu usługi ochrony przed Atakami DDoS;</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możliwość odfiltrowania ruchu sieciowego niepożądanego przez Zamawiającego na urządzeniach dostępowych Wykonawcy;</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zapewnienie Zamawiającemu usługi ochrony przed Atakami DDoS, w tym atakami wolumetrycznymi, na usługi uruchomione przez Zamawiającego w publicznej sieci Internet w trybie 24/7/365 (względnie 24/7/366 w roku przestępnym):</w:t>
      </w:r>
    </w:p>
    <w:p>
      <w:pPr>
        <w:pStyle w:val="Normal"/>
        <w:numPr>
          <w:ilvl w:val="2"/>
          <w:numId w:val="7"/>
        </w:numPr>
        <w:tabs>
          <w:tab w:val="clear" w:pos="709"/>
        </w:tabs>
        <w:spacing w:lineRule="auto" w:line="259" w:before="60" w:after="60"/>
        <w:ind w:hanging="357" w:left="1071"/>
        <w:jc w:val="both"/>
        <w:rPr>
          <w:rFonts w:eastAsia="Times New Roman" w:cs="Calibri" w:cstheme="minorHAnsi"/>
          <w:lang w:eastAsia="pl-PL"/>
        </w:rPr>
      </w:pPr>
      <w:r>
        <w:rPr>
          <w:rFonts w:eastAsia="Times New Roman" w:cs="Calibri" w:cstheme="minorHAnsi"/>
          <w:lang w:eastAsia="pl-PL"/>
        </w:rPr>
        <w:t>Zamawiający wymaga, aby usługa ochrony przed Atakami DDoS realizowana była w sposób proaktywny na urządzeniach Wykonawcy, bez przekierowywania ruchu poza teren Rzeczpospolitej Polskiej,</w:t>
      </w:r>
    </w:p>
    <w:p>
      <w:pPr>
        <w:pStyle w:val="Normal"/>
        <w:numPr>
          <w:ilvl w:val="2"/>
          <w:numId w:val="7"/>
        </w:numPr>
        <w:tabs>
          <w:tab w:val="clear" w:pos="709"/>
        </w:tabs>
        <w:spacing w:lineRule="auto" w:line="259" w:before="60" w:after="60"/>
        <w:ind w:hanging="357" w:left="1071"/>
        <w:jc w:val="both"/>
        <w:rPr>
          <w:rFonts w:eastAsia="Times New Roman" w:cs="Calibri" w:cstheme="minorHAnsi"/>
          <w:lang w:eastAsia="pl-PL"/>
        </w:rPr>
      </w:pPr>
      <w:r>
        <w:rPr>
          <w:rFonts w:eastAsia="Times New Roman" w:cs="Calibri" w:cstheme="minorHAnsi"/>
          <w:lang w:eastAsia="pl-PL"/>
        </w:rPr>
        <w:t xml:space="preserve">szczegółowe wymagania dla </w:t>
      </w:r>
      <w:bookmarkStart w:id="1" w:name="_Hlk208563503"/>
      <w:r>
        <w:rPr>
          <w:rFonts w:eastAsia="Times New Roman" w:cs="Calibri" w:cstheme="minorHAnsi"/>
          <w:lang w:eastAsia="pl-PL"/>
        </w:rPr>
        <w:t xml:space="preserve">usługi ochrony przed Atakami DDoS </w:t>
      </w:r>
      <w:bookmarkEnd w:id="1"/>
      <w:r>
        <w:rPr>
          <w:rFonts w:eastAsia="Times New Roman" w:cs="Calibri" w:cstheme="minorHAnsi"/>
          <w:lang w:eastAsia="pl-PL"/>
        </w:rPr>
        <w:t xml:space="preserve">zawarto w </w:t>
      </w:r>
      <w:r>
        <w:rPr>
          <w:rFonts w:eastAsia="Times New Roman" w:cs="Calibri" w:cstheme="minorHAnsi"/>
          <w:u w:val="single"/>
          <w:lang w:eastAsia="pl-PL"/>
        </w:rPr>
        <w:t>Załączniku nr 1</w:t>
      </w:r>
      <w:r>
        <w:rPr>
          <w:rFonts w:eastAsia="Times New Roman" w:cs="Calibri" w:cstheme="minorHAnsi"/>
          <w:lang w:eastAsia="pl-PL"/>
        </w:rPr>
        <w:t xml:space="preserve"> do Umowy.</w:t>
      </w:r>
    </w:p>
    <w:p>
      <w:pPr>
        <w:pStyle w:val="ListParagraph"/>
        <w:widowControl w:val="false"/>
        <w:numPr>
          <w:ilvl w:val="0"/>
          <w:numId w:val="1"/>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ramach Umowy, Wykonawca zobowiązany jest do:</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 xml:space="preserve">wykonania projektu technicznego konfiguracji urządzeń wraz z projektem wykonawczym usługi proaktywnej ochrony przed Atakami DDoS zgodnie z pkt 11 </w:t>
      </w:r>
      <w:r>
        <w:rPr>
          <w:rFonts w:eastAsia="Times New Roman" w:cs="Calibri" w:cstheme="minorHAnsi"/>
          <w:u w:val="single"/>
          <w:lang w:eastAsia="pl-PL"/>
        </w:rPr>
        <w:t>Załącznika nr 1</w:t>
      </w:r>
      <w:r>
        <w:rPr>
          <w:rFonts w:eastAsia="Times New Roman" w:cs="Calibri" w:cstheme="minorHAnsi"/>
          <w:lang w:eastAsia="pl-PL"/>
        </w:rPr>
        <w:t xml:space="preserve"> do Umowy. Projekt techniczny powinien zawierać co najmniej: lokalizację przyłącza wraz z trasą przebiegu kabla do budynku i wewnątrz budynku, schemat logiczny przyłącza, konfigurację urządzeń, warunki testowania przepustowości;</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przyłączenia routera brzegowego w siedzibie Zamawiającego do łącza zapewniającego połączenie z Internetem,</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wykonania rekonfiguracji adresacji, ACL, mechanizmów bezpieczeństwa, QoS na urządzeniu brzegowym (dostarczonym przez Wykonawcę do Zamawiającego oraz posiadanym przez Zamawiającego o modelu: Catalyst 8300) w siedzibie Zamawiającego. Wszelkie prace konfiguracyjne urządzeń Zamawiającego będą wykonywane przez pracowników Zamawiającego przy współpracy z Wykonawcą,</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wykonania testów funkcjonowania łącza z uwzględnieniem dynamicznego przekierowania ruchu do drugiej lokalizacji Zamawiającego Al. Ujazdowskie 11 w Warszawie / ul. Czerniakowska 100 w Warszawie, w przypadku Awarii łącza,</w:t>
      </w:r>
    </w:p>
    <w:p>
      <w:pPr>
        <w:pStyle w:val="Normal"/>
        <w:numPr>
          <w:ilvl w:val="0"/>
          <w:numId w:val="26"/>
        </w:numPr>
        <w:tabs>
          <w:tab w:val="clear" w:pos="709"/>
        </w:tabs>
        <w:spacing w:lineRule="auto" w:line="259" w:before="60" w:after="60"/>
        <w:ind w:hanging="357" w:left="714"/>
        <w:jc w:val="both"/>
        <w:rPr>
          <w:rFonts w:eastAsia="Times New Roman" w:cs="Calibri" w:cstheme="minorHAnsi"/>
          <w:b/>
          <w:lang w:eastAsia="pl-PL"/>
        </w:rPr>
      </w:pPr>
      <w:r>
        <w:rPr>
          <w:rFonts w:eastAsia="Times New Roman" w:cs="Calibri" w:cstheme="minorHAnsi"/>
          <w:lang w:eastAsia="pl-PL"/>
        </w:rPr>
        <w:t>opracowania dokumentacji powykonawczej, zawierającej zaktualizowany projekt techniczny wraz z projektem wykonawczym usługi proaktywnej ochrony przed Atakami DDoS.</w:t>
      </w:r>
    </w:p>
    <w:p>
      <w:pPr>
        <w:pStyle w:val="ListParagraph"/>
        <w:widowControl w:val="false"/>
        <w:numPr>
          <w:ilvl w:val="0"/>
          <w:numId w:val="1"/>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 xml:space="preserve">Wykonawca zobowiązany jest w terminie 30 dni od dnia uruchomienia Usługi, o którym mowa w § 2 ust. 1 i 2, przesłać Zamawiającemu dokumentację powykonawczą, o której mowa w ust. 2 pkt 5, w języku polskim, w postaci elektronicznej (skan oryginału oraz wersja edytowalna .docx) na adres poczty elektronicznej Zamawiającego wskazany w </w:t>
      </w:r>
      <w:r>
        <w:rPr>
          <w:rFonts w:eastAsia="Times New Roman" w:cs="Calibri" w:cstheme="minorHAnsi"/>
          <w:u w:val="single"/>
          <w:lang w:eastAsia="pl-PL"/>
        </w:rPr>
        <w:t>Załączniku nr 4</w:t>
      </w:r>
      <w:r>
        <w:rPr>
          <w:rFonts w:eastAsia="Times New Roman" w:cs="Calibri" w:cstheme="minorHAnsi"/>
          <w:lang w:eastAsia="pl-PL"/>
        </w:rPr>
        <w:t xml:space="preserve"> do Umowy. Zamawiający w terminie 3 dni roboczych od otrzymania dokumentacji powykonawcza dokona jej akceptacji lub zgłosi swoje uwagi, przesyłając je na adres poczty elektronicznej Wykonawcy wskazany w </w:t>
      </w:r>
      <w:r>
        <w:rPr>
          <w:rFonts w:eastAsia="Times New Roman" w:cs="Calibri" w:cstheme="minorHAnsi"/>
          <w:u w:val="single"/>
          <w:lang w:eastAsia="pl-PL"/>
        </w:rPr>
        <w:t>Załączniku nr 4</w:t>
      </w:r>
      <w:r>
        <w:rPr>
          <w:rFonts w:eastAsia="Times New Roman" w:cs="Calibri" w:cstheme="minorHAnsi"/>
          <w:lang w:eastAsia="pl-PL"/>
        </w:rPr>
        <w:t xml:space="preserve"> do Umowy. Wykonawca zobowiązany jest w terminie 3 dni roboczych od dnia otrzymania uwag do ich uwzględnienia i przedstawienia poprawionej wersji dokumentacji powykonawczej.</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2</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Termin realizacji przedmiotu Umowy</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 xml:space="preserve">Zestawienie stałego symetrycznego łącza dostępowego oraz skonfigurowanie i uruchomienie Usługi zgodnie z § 1 ust. 1 pkt 1 nastąpi w terminie do 30 dni od dnia zawarcia Umowy. Odbiór będzie polegał na weryfikacji poprawności wykonania czynności w ramach uruchomienia Usługi i potwierdzeniu uruchomienia Usługi o parametrach wskazanych w Umowie oraz poprawności działania łącza. Wzór Protokołu uruchomienia Usługi dołączono w </w:t>
      </w:r>
      <w:r>
        <w:rPr>
          <w:rFonts w:cs="Calibri" w:cstheme="minorHAnsi"/>
          <w:u w:val="single"/>
        </w:rPr>
        <w:t>Załączniku nr 2</w:t>
      </w:r>
      <w:r>
        <w:rPr>
          <w:rFonts w:cs="Calibri" w:cstheme="minorHAnsi"/>
        </w:rPr>
        <w:t xml:space="preserve"> do Umowy. </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 xml:space="preserve">Wykonawca będzie świadczył Usługę przez okres 36 miesięcy, poczynając od dnia uruchomienia Usługi, </w:t>
      </w:r>
      <w:r>
        <w:rPr>
          <w:rFonts w:eastAsia="Times New Roman" w:cs="Calibri" w:cstheme="minorHAnsi"/>
          <w:lang w:eastAsia="pl-PL"/>
        </w:rPr>
        <w:t>potwierdzonego w Protokole uruchomienia Usługi.</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 xml:space="preserve">Wykonawca będzie świadczył usługę dostępu do sieci Internet w okresie wskazanym </w:t>
        <w:br/>
        <w:t>w pkt 2, nie wcześniej jednak niż od 04.03.2027 r.</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3</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Oświadczenia i zobowiązania Stron</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Strony zobowiązane są współdziałać w celu należytej realizacji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współdziałać z jednostkami organizacyjnymi lub osobami trzecimi wskazanymi przez Zamawiającego, w celu zapewnienia ciągłości procesów biznesowych Zamawiającego.</w:t>
      </w:r>
    </w:p>
    <w:p>
      <w:pPr>
        <w:pStyle w:val="Normal"/>
        <w:numPr>
          <w:ilvl w:val="0"/>
          <w:numId w:val="2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zobowiązuje się do wykonywania przedmiotu Umowy z należytą starannością profesjonalisty, zgodnie z aktualnym stanem wiedzy fachowej, zasadami</w:t>
      </w:r>
      <w:r>
        <w:rPr>
          <w:rFonts w:cs="Calibri" w:cstheme="minorHAnsi"/>
        </w:rPr>
        <w:t xml:space="preserve"> cyberbezpieczeństwa i dobrymi praktykami stosowanymi w branży IT, przy czym w zakresie świadczeń o charakterze dzieła Wykonawca ponosi odpowiedzialność jak za dzieło</w:t>
      </w:r>
      <w:r>
        <w:rPr>
          <w:rFonts w:eastAsia="Times New Roman" w:cs="Calibri" w:cstheme="minorHAnsi"/>
          <w:lang w:eastAsia="pl-PL"/>
        </w:rPr>
        <w:t>.</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przy wykonywaniu Umowy:</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cs="Calibri" w:cstheme="minorHAnsi"/>
        </w:rPr>
        <w:t xml:space="preserve">przestrzegać przepisów prawa, zasad BHP, regulaminów wewnętrznych Ministerstwa </w:t>
      </w:r>
      <w:r>
        <w:rPr>
          <w:rFonts w:eastAsia="Times New Roman" w:cs="Calibri" w:cstheme="minorHAnsi"/>
          <w:lang w:eastAsia="pl-PL"/>
        </w:rPr>
        <w:t>Sprawiedliwości</w:t>
      </w:r>
      <w:r>
        <w:rPr>
          <w:rFonts w:cs="Calibri" w:cstheme="minorHAnsi"/>
        </w:rPr>
        <w:t xml:space="preserve"> oraz procedur obowiązujących w obiektach Ministerstwa Sprawiedliwości, o ile </w:t>
      </w:r>
      <w:r>
        <w:rPr>
          <w:rFonts w:eastAsia="Times New Roman" w:cs="Calibri" w:cstheme="minorHAnsi"/>
          <w:lang w:eastAsia="pl-PL"/>
        </w:rPr>
        <w:t>mają zastosowanie;</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stosować instrukcje obiektów i wyposażenia, karty charakterystyki (o ile mają zastosowanie) oraz instrukcje lub inne wytyczne producentów poszczególnych elementów infrastruktury (sprzętów, urządzeń i instalacji) oraz oprogramowania;</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zapewnić obsługę przez personel posiadający stosowne umiejętności i wiedzę, wyposażony w sprzęt i narzędzia niezbędne do profesjonalnego świadczenia usług objętych przedmiotem Umowy;</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zapewnić, aby z przyczyn leżących po stronie Wykonawcy nie doszło na etapie realizacji Umowy do zakłócenia normalnego funkcjonowania infrastruktury Ministerstwa Sprawiedliwości ani systemów teleinformatycznych pozostających w dyspozycji Zamawiającego, w tym incydentów związanych z bezpieczeństwem informacji ani obowiązków ciążących na Zamawiającym jako administratorze danych osobowych;</w:t>
      </w:r>
    </w:p>
    <w:p>
      <w:pPr>
        <w:pStyle w:val="Normal"/>
        <w:numPr>
          <w:ilvl w:val="0"/>
          <w:numId w:val="28"/>
        </w:numPr>
        <w:tabs>
          <w:tab w:val="clear" w:pos="709"/>
        </w:tabs>
        <w:spacing w:lineRule="auto" w:line="259" w:before="60" w:after="60"/>
        <w:ind w:hanging="357" w:left="714"/>
        <w:jc w:val="both"/>
        <w:rPr>
          <w:rFonts w:cs="Calibri" w:cstheme="minorHAnsi"/>
        </w:rPr>
      </w:pPr>
      <w:r>
        <w:rPr>
          <w:rFonts w:eastAsia="Times New Roman" w:cs="Calibri" w:cstheme="minorHAnsi"/>
          <w:lang w:eastAsia="pl-PL"/>
        </w:rPr>
        <w:t>niezwłocznie poddać się kontroli w zakresie prawidłowości realizacji niniejszej Umowy przez Ministerstwo Sprawiedliwości lub inne upoważnione podmioty, na wezwanie Zamawiającego</w:t>
      </w:r>
      <w:r>
        <w:rPr>
          <w:rFonts w:cs="Calibri" w:cstheme="minorHAnsi"/>
        </w:rPr>
        <w:t>.</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Zamawiający zobowiązuje się do udostępnienia procedur i dokumentów, o których mowa w ust. 4 pkt 1 i 2 powyżej, przed przystąpieniem przez Wykonawcę do realizacji stosownych zadań w ramach przedmiotu Umowy, bez uszczerbku dla ust. 15. Zakres oraz sposób udostępniania tej dokumentacji określi Zamawiający, po konsultacji z Wykonawcą.</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 przypadku, gdy należyta realizacja przedmiotu Umowy wymaga podjęcia określonego działania przez Zamawiającego, Wykonawca niezwłocznie poinformuje o tym Zamawiającego w formie pisemnej albo w formie elektronicznej, wskazując na zakres i uzasadnienie konieczności takiego działania.</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do niezwłocznego informowania Zamawiającego o wszelkich zdarzeniach, które mogą mieć wpływ na jakość, terminowość bądź zakres realizacji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Zaniechanie terminowego wykonania zobowiązań, o których mowa w ust. 6 lub 7, o ile Wykonawca w danym zakresie wiedzę posiada lub przy uwzględnieniu wymaganej Umową staranności powinien ją posiadać, uprawnia Zamawiającego do obciążenia Wykonawcy poniesionymi kosztami i wydatkami.</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Na wezwanie Zamawiającego, Wykonawca niezwłocznie zapewni wgląd w dokumentację związaną z realizacją przedmiotu Umowy oraz poinformuje Zamawiającego o szczegółach przebiegu realizacji Umowy w formie pisemnej albo w formie elektronicznej.</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Zamawiający umożliwi Wykonawcy dostęp do obiektów, danych i informacji, w tym objętych poufnością lub chronionych, w zakresie niezbędnym do realizacji przedmiotu Umowy. Zakres oraz warunki udostępniania obiektów, danych i informacji określi Zamawiający.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ponosi odpowiedzialność za właściwą organizację, bezpieczeństwo i jakość wykonywania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 xml:space="preserve">Wykonawca ponosi odpowiedzialność za działania lub zaniechania związane z realizacją Umowy, chyba że szkoda nastąpiła wskutek siły wyższej, </w:t>
      </w:r>
      <w:r>
        <w:rPr>
          <w:rFonts w:eastAsia="Times New Roman" w:cs="Calibri" w:cstheme="minorHAnsi"/>
          <w:lang w:eastAsia="pl-PL"/>
        </w:rPr>
        <w:t xml:space="preserve">o której mowa w </w:t>
      </w:r>
      <w:r>
        <w:rPr/>
        <w:t>§ 13</w:t>
      </w:r>
      <w:r>
        <w:rPr>
          <w:rFonts w:cs="Calibri" w:cstheme="minorHAnsi"/>
        </w:rPr>
        <w:t xml:space="preserve"> albo z wyłącznej winy Zamawiającego.</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ponosi odpowiedzialność za udostępnione mu przez Zamawiającego mienie w związku z realizacją Umowy. Zamawiający upoważniony jest do obciążenia Wykonawcy kosztami odpowiednio naprawy lub wymiany, jeżeli uszkodzenie mienia wynikło z działania lub zaniechania Wykonawcy. Postanowienia zdań poprzedzających stosuje się odpowiednio do powierzonych danych.</w:t>
      </w:r>
    </w:p>
    <w:p>
      <w:pPr>
        <w:pStyle w:val="Normal"/>
        <w:numPr>
          <w:ilvl w:val="0"/>
          <w:numId w:val="2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zakresie, w jakim Umowa przewiduje wskazanie przez Zamawiającego lub uzgodnienie przez Strony szczegółów odnośnie sposobu realizacji przedmiotu Umowy, stosowanie się do takich wskazówek / uzgodnień, nie zwalnia Wykonawcy z odpowiedzialności za niewykonanie lub nienależyte wykonanie Umowy, w tym za wady przedmiotu Umowy, chyba że Wykonawca poinformował Zamawiającego w formie pisemnej albo w formie elektronicznej o ryzyku jakie wiąże się z przestrzeganiem tych wskazówek / uzgodnień.</w:t>
      </w:r>
    </w:p>
    <w:p>
      <w:pPr>
        <w:pStyle w:val="Normal"/>
        <w:numPr>
          <w:ilvl w:val="0"/>
          <w:numId w:val="27"/>
        </w:numPr>
        <w:tabs>
          <w:tab w:val="clear" w:pos="709"/>
        </w:tabs>
        <w:spacing w:lineRule="auto" w:line="259" w:before="60" w:after="60"/>
        <w:jc w:val="both"/>
        <w:rPr/>
      </w:pPr>
      <w:r>
        <w:rPr/>
        <w:t>Zamawiający zobowiązuje się do:</w:t>
      </w:r>
    </w:p>
    <w:p>
      <w:pPr>
        <w:pStyle w:val="Normal"/>
        <w:numPr>
          <w:ilvl w:val="0"/>
          <w:numId w:val="29"/>
        </w:numPr>
        <w:tabs>
          <w:tab w:val="clear" w:pos="709"/>
        </w:tabs>
        <w:spacing w:lineRule="auto" w:line="259" w:before="60" w:after="60"/>
        <w:ind w:hanging="357" w:left="714"/>
        <w:jc w:val="both"/>
        <w:rPr/>
      </w:pPr>
      <w:r>
        <w:rPr/>
        <w:t xml:space="preserve">dostarczenia Wykonawcy, w terminie 5 dni od dnia zawarcia Umowy, informacji i danych </w:t>
      </w:r>
      <w:r>
        <w:rPr>
          <w:rFonts w:eastAsia="Times New Roman" w:cs="Calibri" w:cstheme="minorHAnsi"/>
          <w:lang w:eastAsia="pl-PL"/>
        </w:rPr>
        <w:t>niezbędnych</w:t>
      </w:r>
      <w:r>
        <w:rPr/>
        <w:t xml:space="preserve"> do jej realizacji, a w szczególności do udostępnienia niezbędnych dokumentów, w tym rzutów budynków oraz pomieszczeń w lokalizacji Zamawiającego koniecznych do instalacji elementów aktywnych;</w:t>
      </w:r>
    </w:p>
    <w:p>
      <w:pPr>
        <w:pStyle w:val="Normal"/>
        <w:numPr>
          <w:ilvl w:val="0"/>
          <w:numId w:val="29"/>
        </w:numPr>
        <w:tabs>
          <w:tab w:val="clear" w:pos="709"/>
        </w:tabs>
        <w:spacing w:lineRule="auto" w:line="259" w:before="60" w:after="60"/>
        <w:ind w:hanging="357" w:left="714"/>
        <w:jc w:val="both"/>
        <w:rPr/>
      </w:pPr>
      <w:r>
        <w:rPr/>
        <w:t>zapewnienia warunków do instalacji stałego symetrycznego łącza dostępowego, o którym mowa w § 1 ust. 1 pkt 1, poprzez:</w:t>
      </w:r>
    </w:p>
    <w:p>
      <w:pPr>
        <w:pStyle w:val="ListParagraph"/>
        <w:numPr>
          <w:ilvl w:val="1"/>
          <w:numId w:val="27"/>
        </w:numPr>
        <w:tabs>
          <w:tab w:val="clear" w:pos="709"/>
        </w:tabs>
        <w:spacing w:lineRule="auto" w:line="259" w:before="60" w:after="60"/>
        <w:ind w:hanging="357" w:left="1071"/>
        <w:contextualSpacing w:val="false"/>
        <w:jc w:val="both"/>
        <w:rPr/>
      </w:pPr>
      <w:r>
        <w:rPr>
          <w:rFonts w:eastAsia="Times New Roman" w:cs="Calibri" w:cstheme="minorHAnsi"/>
          <w:lang w:eastAsia="pl-PL"/>
        </w:rPr>
        <w:t>zapewnienie</w:t>
      </w:r>
      <w:r>
        <w:rPr/>
        <w:t xml:space="preserve"> w swoich obiektach miejsca do instalacji urządzeń sieciowych i łącza;</w:t>
      </w:r>
    </w:p>
    <w:p>
      <w:pPr>
        <w:pStyle w:val="ListParagraph"/>
        <w:numPr>
          <w:ilvl w:val="1"/>
          <w:numId w:val="27"/>
        </w:numPr>
        <w:tabs>
          <w:tab w:val="clear" w:pos="709"/>
        </w:tabs>
        <w:spacing w:lineRule="auto" w:line="259" w:before="60" w:after="60"/>
        <w:ind w:hanging="357" w:left="1071"/>
        <w:contextualSpacing w:val="false"/>
        <w:jc w:val="both"/>
        <w:rPr/>
      </w:pPr>
      <w:r>
        <w:rPr/>
        <w:t>udostępnienie zasilania elektrycznego dla niezbędnych urządzeń dostarczonych przez Wykonawcę.</w:t>
      </w:r>
    </w:p>
    <w:p>
      <w:pPr>
        <w:pStyle w:val="Normal"/>
        <w:numPr>
          <w:ilvl w:val="0"/>
          <w:numId w:val="27"/>
        </w:numPr>
        <w:tabs>
          <w:tab w:val="clear" w:pos="709"/>
        </w:tabs>
        <w:spacing w:lineRule="auto" w:line="259" w:before="60" w:after="60"/>
        <w:jc w:val="both"/>
        <w:rPr/>
      </w:pPr>
      <w:r>
        <w:rPr/>
        <w:t>Wykonawca ma prawo, po uprzednim pisemnym poinformowaniu Zamawiającego oraz po upływie 7 dni od pisemnego potwierdzenia przez Zamawiającego otrzymania informacji, do odłączenia Zamawiającego od sieci Internet bez odszkodowania w przypadku stwierdzenia:</w:t>
      </w:r>
    </w:p>
    <w:p>
      <w:pPr>
        <w:pStyle w:val="Normal"/>
        <w:numPr>
          <w:ilvl w:val="0"/>
          <w:numId w:val="30"/>
        </w:numPr>
        <w:tabs>
          <w:tab w:val="clear" w:pos="709"/>
        </w:tabs>
        <w:spacing w:lineRule="auto" w:line="259" w:before="60" w:after="60"/>
        <w:ind w:hanging="357" w:left="714"/>
        <w:jc w:val="both"/>
        <w:rPr/>
      </w:pPr>
      <w:r>
        <w:rPr/>
        <w:t>dopuszczenia do sieci osób nieuprawnionych, o ile Zamawiający nie zareaguje na wcześniejsze poinformowanie ze strony Wykonawcy potwierdzone przez Zamawiającego,</w:t>
      </w:r>
    </w:p>
    <w:p>
      <w:pPr>
        <w:pStyle w:val="Normal"/>
        <w:numPr>
          <w:ilvl w:val="0"/>
          <w:numId w:val="30"/>
        </w:numPr>
        <w:tabs>
          <w:tab w:val="clear" w:pos="709"/>
        </w:tabs>
        <w:spacing w:lineRule="auto" w:line="259" w:before="60" w:after="60"/>
        <w:ind w:hanging="357" w:left="714"/>
        <w:jc w:val="both"/>
        <w:rPr/>
      </w:pPr>
      <w:r>
        <w:rPr/>
        <w:t>działania na szkodę innych abonentów lub operatorów sieci współpracujących z Wykonawcą, w tym także na skutek niedołożenia należytej staranności w zakresie zapewnienia ochrony nad zarządzaną przez siebie infrastrukturą, o ile Zamawiający nie zareaguje na wcześniejsze poinformowanie ze strony Wykonawcy potwierdzone przez Zamawiającego.</w:t>
      </w:r>
    </w:p>
    <w:p>
      <w:pPr>
        <w:pStyle w:val="Normal"/>
        <w:numPr>
          <w:ilvl w:val="0"/>
          <w:numId w:val="27"/>
        </w:numPr>
        <w:tabs>
          <w:tab w:val="clear" w:pos="709"/>
        </w:tabs>
        <w:spacing w:lineRule="auto" w:line="259" w:before="60" w:after="60"/>
        <w:jc w:val="both"/>
        <w:rPr/>
      </w:pPr>
      <w:r>
        <w:rPr/>
        <w:t>Wykonawca gwarantuje:</w:t>
      </w:r>
    </w:p>
    <w:p>
      <w:pPr>
        <w:pStyle w:val="Normal"/>
        <w:numPr>
          <w:ilvl w:val="0"/>
          <w:numId w:val="31"/>
        </w:numPr>
        <w:tabs>
          <w:tab w:val="clear" w:pos="709"/>
        </w:tabs>
        <w:spacing w:lineRule="auto" w:line="259" w:before="60" w:after="60"/>
        <w:ind w:hanging="357" w:left="714"/>
        <w:jc w:val="both"/>
        <w:rPr/>
      </w:pPr>
      <w:r>
        <w:rPr/>
        <w:t>całodobowe świadczenie Usługi na poziomie DM nie niższym niż 99,72% w skali miesiąca, co oznacza, że CN nie może przekroczyć 2 godzin w skali miesiąca,</w:t>
      </w:r>
    </w:p>
    <w:p>
      <w:pPr>
        <w:pStyle w:val="Normal"/>
        <w:numPr>
          <w:ilvl w:val="0"/>
          <w:numId w:val="31"/>
        </w:numPr>
        <w:tabs>
          <w:tab w:val="clear" w:pos="709"/>
        </w:tabs>
        <w:spacing w:lineRule="auto" w:line="259" w:before="60" w:after="60"/>
        <w:ind w:hanging="357" w:left="714"/>
        <w:jc w:val="both"/>
        <w:rPr/>
      </w:pPr>
      <w:r>
        <w:rPr/>
        <w:t>gotowość Wykonawcy do potwierdzenia i usunięcia Awarii w trybie 24/7/365, tj. przez 24 godziny na dobę, 7 dni w tygodniu, 365 dni w roku (a w roku przestępnym 366 dni), w tym również w soboty, niedziele oraz dni ustawowo wolne od pracy, przez cały okres realizacji Usług,</w:t>
      </w:r>
    </w:p>
    <w:p>
      <w:pPr>
        <w:pStyle w:val="Normal"/>
        <w:numPr>
          <w:ilvl w:val="0"/>
          <w:numId w:val="31"/>
        </w:numPr>
        <w:tabs>
          <w:tab w:val="clear" w:pos="709"/>
        </w:tabs>
        <w:spacing w:lineRule="auto" w:line="259" w:before="60" w:after="60"/>
        <w:ind w:hanging="357" w:left="714"/>
        <w:jc w:val="both"/>
        <w:rPr/>
      </w:pPr>
      <w:r>
        <w:rPr/>
        <w:t>Czas Reakcji (CR) na Awarię wynoszący do 30 minut od wykrycia przez Wykonawcę lub zgłoszenia przez Zamawiającego.</w:t>
      </w:r>
    </w:p>
    <w:p>
      <w:pPr>
        <w:pStyle w:val="Normal"/>
        <w:numPr>
          <w:ilvl w:val="0"/>
          <w:numId w:val="27"/>
        </w:numPr>
        <w:tabs>
          <w:tab w:val="clear" w:pos="709"/>
        </w:tabs>
        <w:spacing w:lineRule="auto" w:line="259" w:before="60" w:after="60"/>
        <w:jc w:val="both"/>
        <w:rPr/>
      </w:pPr>
      <w:r>
        <w:rPr/>
        <w:t>Dostępna przepustowość, która jest określona w § 1 ust. 1 pkt 1, jest gwarantowana przez Wykonawcę w punktach styku sieci IP Wykonawcy z sieciami IP operatorów Internetu, z którymi Wykonawca wymienia bezpośrednio ruch internetowy.</w:t>
      </w:r>
    </w:p>
    <w:p>
      <w:pPr>
        <w:pStyle w:val="Normal"/>
        <w:numPr>
          <w:ilvl w:val="0"/>
          <w:numId w:val="27"/>
        </w:numPr>
        <w:tabs>
          <w:tab w:val="clear" w:pos="709"/>
        </w:tabs>
        <w:spacing w:lineRule="auto" w:line="259" w:before="60" w:after="60"/>
        <w:jc w:val="both"/>
        <w:rPr/>
      </w:pPr>
      <w:r>
        <w:rPr/>
        <w:t>Wykonawca gwarantuje także:</w:t>
      </w:r>
    </w:p>
    <w:p>
      <w:pPr>
        <w:pStyle w:val="Normal"/>
        <w:numPr>
          <w:ilvl w:val="0"/>
          <w:numId w:val="32"/>
        </w:numPr>
        <w:tabs>
          <w:tab w:val="clear" w:pos="709"/>
        </w:tabs>
        <w:spacing w:lineRule="auto" w:line="259" w:before="60" w:after="60"/>
        <w:ind w:hanging="357" w:left="714"/>
        <w:jc w:val="both"/>
        <w:rPr/>
      </w:pPr>
      <w:r>
        <w:rPr/>
        <w:t>brak limitów ruchu – dostęp do Internetu musi być zapewniony bez jakichkolwiek limitów czasu dostępu, bez względu na liczbę użytkowników czy też liczbę przesłanych lub odebranych danych;</w:t>
      </w:r>
    </w:p>
    <w:p>
      <w:pPr>
        <w:pStyle w:val="Normal"/>
        <w:numPr>
          <w:ilvl w:val="0"/>
          <w:numId w:val="32"/>
        </w:numPr>
        <w:tabs>
          <w:tab w:val="clear" w:pos="709"/>
        </w:tabs>
        <w:spacing w:lineRule="auto" w:line="259" w:before="60" w:after="60"/>
        <w:ind w:hanging="357" w:left="714"/>
        <w:jc w:val="both"/>
        <w:rPr/>
      </w:pPr>
      <w:r>
        <w:rPr/>
        <w:t>to, że łącze internetowe pozwala na wykorzystanie pełnego pasma, dla pojedynczych sesji.</w:t>
      </w:r>
    </w:p>
    <w:p>
      <w:pPr>
        <w:pStyle w:val="Normal"/>
        <w:numPr>
          <w:ilvl w:val="0"/>
          <w:numId w:val="27"/>
        </w:numPr>
        <w:tabs>
          <w:tab w:val="clear" w:pos="709"/>
        </w:tabs>
        <w:spacing w:lineRule="auto" w:line="259" w:before="60" w:after="60"/>
        <w:jc w:val="both"/>
        <w:rPr/>
      </w:pPr>
      <w:r>
        <w:rPr/>
        <w:t xml:space="preserve">Każda ze Stron zobowiązuje się do podejmowania działań mających na celu zapewnienie bezpieczeństwa transmisji danych w ramach korzystania z usługi dostępu do Internetu, zgodnie z obowiązującymi przepisami prawa oraz przyjętymi standardami technicznymi i organizacyjnymi. </w:t>
        <w:br/>
        <w:t>W szczególności Wykonawca zobowiązuje się do stosowania środków ochrony sieci przed nieautoryzowanym dostępem, złośliwym oprogramowaniem oraz innymi zagrożeniami teleinformatycznymi.</w:t>
      </w:r>
    </w:p>
    <w:p>
      <w:pPr>
        <w:pStyle w:val="Normal"/>
        <w:numPr>
          <w:ilvl w:val="0"/>
          <w:numId w:val="27"/>
        </w:numPr>
        <w:tabs>
          <w:tab w:val="clear" w:pos="709"/>
        </w:tabs>
        <w:spacing w:lineRule="auto" w:line="259" w:before="60" w:after="60"/>
        <w:jc w:val="both"/>
        <w:rPr/>
      </w:pPr>
      <w:r>
        <w:rPr/>
        <w:t>Informacje Zamawiającego przesyłane przez sieć telekomunikacyjną podlegają ochronie zgodnie z powszechnie obowiązującymi przepisami prawa.</w:t>
      </w:r>
    </w:p>
    <w:p>
      <w:pPr>
        <w:pStyle w:val="Normal"/>
        <w:numPr>
          <w:ilvl w:val="0"/>
          <w:numId w:val="27"/>
        </w:numPr>
        <w:tabs>
          <w:tab w:val="clear" w:pos="709"/>
        </w:tabs>
        <w:spacing w:lineRule="auto" w:line="259" w:before="60" w:after="60"/>
        <w:jc w:val="both"/>
        <w:rPr/>
      </w:pPr>
      <w:r>
        <w:rPr/>
        <w:t>Wykonawca nie ponosi odpowiedzialności za treść danych przesyłanych przez użytkowników za pośrednictwem świadczonej usługi, ani za skutki ich wykorzystania przez osoby trzecie.</w:t>
      </w:r>
    </w:p>
    <w:p>
      <w:pPr>
        <w:pStyle w:val="Normal"/>
        <w:numPr>
          <w:ilvl w:val="0"/>
          <w:numId w:val="27"/>
        </w:numPr>
        <w:tabs>
          <w:tab w:val="clear" w:pos="709"/>
        </w:tabs>
        <w:spacing w:lineRule="auto" w:line="259" w:before="60" w:after="60"/>
        <w:jc w:val="both"/>
        <w:rPr/>
      </w:pPr>
      <w:r>
        <w:rPr/>
        <w:t>Wykonawca zapewnia sprawność sieci telekomunikacyjnej na odcinku od urządzeń transmisji danych Wykonawcy instalowanych w lokalizacji Zamawiającego i zarządzanych przez Wykonawcę na potrzeby świadczenia Usługi do punktu styku z siecią innych przedsiębiorców telekomunikacyjnych, a także sprawność wymienionych wyżej urządzeń Wykonawcy przez cały okres realizacji Umowy.</w:t>
      </w:r>
    </w:p>
    <w:p>
      <w:pPr>
        <w:pStyle w:val="Normal"/>
        <w:numPr>
          <w:ilvl w:val="0"/>
          <w:numId w:val="27"/>
        </w:numPr>
        <w:tabs>
          <w:tab w:val="clear" w:pos="709"/>
        </w:tabs>
        <w:spacing w:lineRule="auto" w:line="259" w:before="60" w:after="60"/>
        <w:jc w:val="both"/>
        <w:rPr/>
      </w:pPr>
      <w:r>
        <w:rPr/>
        <w:t>W związku i z wejściem przepisów transponujących do polskiego porządku prawnego wymagania określone w Dyrektywie Parlamentu Europejskiego i Rady (UE) 2022/2555 z dnia 14 grudnia 2022 r. (dyrektywa NIS2), na skutek nowelizacji Ustawy  z dnia 5 lipca 2018 r. o krajowym systemie cyberbezpieczeństwa, Wykonawca wdroży i będzie stosował zasady dotyczące identyfikacji podmiotów, zarządzania ryzykiem, raportowania incydentów oraz nadzoru nad cyberbezpieczeństwem w zakresie niezbędnym do zapewnienia, że Zamawiający nie poniesie odpowiedzialności w związku z niewykonaniem lub nienależytym wykonaniem tych obowiązków przez Wykonawcę. Zamawiający w szczególności uprawniony do weryfikowania oraz żądania potwierdzenia spełnienia przez Wykonawcę obowiązków wynikających z tych przepisów.</w:t>
      </w:r>
    </w:p>
    <w:p>
      <w:pPr>
        <w:pStyle w:val="Normal"/>
        <w:spacing w:lineRule="auto" w:line="259" w:before="60" w:after="60"/>
        <w:jc w:val="center"/>
        <w:rPr>
          <w:rFonts w:cs="Calibri" w:cstheme="minorHAnsi"/>
          <w:b/>
        </w:rPr>
      </w:pPr>
      <w:r>
        <w:rPr>
          <w:rFonts w:cs="Calibri" w:cstheme="minorHAnsi"/>
          <w:b/>
        </w:rPr>
        <w:t>§ 4</w:t>
      </w:r>
    </w:p>
    <w:p>
      <w:pPr>
        <w:pStyle w:val="Normal"/>
        <w:spacing w:lineRule="auto" w:line="259" w:before="60" w:after="60"/>
        <w:jc w:val="center"/>
        <w:rPr>
          <w:rFonts w:cs="Calibri" w:cstheme="minorHAnsi"/>
          <w:b/>
        </w:rPr>
      </w:pPr>
      <w:r>
        <w:rPr>
          <w:rFonts w:cs="Calibri" w:cstheme="minorHAnsi"/>
          <w:b/>
        </w:rPr>
        <w:t>Przedstawiciele Stron</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Do bieżącej współpracy Stron w zakresie realizacji niniejszej Umowy (w tym podpisywania protokołów), Zamawiający wskazuje dane i upoważnia osoby zestawione w tabeli 1 w </w:t>
      </w:r>
      <w:r>
        <w:rPr>
          <w:rFonts w:cs="Calibri" w:cstheme="minorHAnsi"/>
          <w:u w:val="single"/>
        </w:rPr>
        <w:t>Załączniku nr 4</w:t>
      </w:r>
      <w:r>
        <w:rPr>
          <w:rFonts w:cs="Calibri" w:cstheme="minorHAnsi"/>
        </w:rPr>
        <w:t xml:space="preserve"> do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Do bieżącej współpracy Stron w zakresie realizacji niniejszej Umowy (w tym podpisywania protokołów), Wykonawca wskazuje dane i upoważnia osoby zestawione w tabeli 2 w </w:t>
      </w:r>
      <w:r>
        <w:rPr>
          <w:rFonts w:cs="Calibri" w:cstheme="minorHAnsi"/>
          <w:u w:val="single"/>
        </w:rPr>
        <w:t>Załączniku nr 4</w:t>
      </w:r>
      <w:r>
        <w:rPr>
          <w:rFonts w:cs="Calibri" w:cstheme="minorHAnsi"/>
        </w:rPr>
        <w:t xml:space="preserve"> do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Osoby zestawione w </w:t>
      </w:r>
      <w:r>
        <w:rPr>
          <w:rFonts w:cs="Calibri" w:cstheme="minorHAnsi"/>
          <w:u w:val="single"/>
        </w:rPr>
        <w:t>Załączniku nr 4</w:t>
      </w:r>
      <w:r>
        <w:rPr>
          <w:rFonts w:cs="Calibri" w:cstheme="minorHAnsi"/>
        </w:rPr>
        <w:t xml:space="preserve"> do Umowy, upoważnione są do wykonywania w imieniu mocodawcy czynności określonych w niniejszej Umowie, z wyłączeniem zmiany postanowień tej Umowy, jej rozwiązania lub odstąpienia od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Zmiana danych zestawionych w </w:t>
      </w:r>
      <w:r>
        <w:rPr>
          <w:rFonts w:cs="Calibri" w:cstheme="minorHAnsi"/>
          <w:u w:val="single"/>
        </w:rPr>
        <w:t>Załączniku nr 4</w:t>
      </w:r>
      <w:r>
        <w:rPr>
          <w:rFonts w:cs="Calibri" w:cstheme="minorHAnsi"/>
        </w:rPr>
        <w:t xml:space="preserve"> do Umowy powyżej nie będzie stanowiła zmiany Umowy i będzie skuteczna od dnia doręczenia zawiadomienia Strony, której dane się zmieniły, wraz ze wskazaniem nowych danych kontaktowych – wystosowanego w formie pisemnej albo w formie elektronicznej – drugiej Stronie.</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W przypadku zmian osób wskazanych w ust. 1 i 2 powyżej, postanowienie ust. 4 powyżej stosuje się odpowiednio.</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Wszelka korespondencja dotycząca Umowy, prowadzona będzie w postaci elektronicznej (zwykłą pocztą elektroniczną, tj. bez opatrywania jej kwalifikowanym podpisem elektronicznym), chyba że określone postanowienie Umowy wprost wskazuje na wymóg dochowania danej czynności w określonej formie.</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Korespondencja dostarczana osobiście lub wysłana pocztą lub kurierem na adres Strony, będzie uznana za skutecznie doręczoną we wcześniejszej z dat: (i) z dniem, w którym Strona odebrała przesyłkę, (ii) z dniem, w którym Strona odmówiła odbioru przesyłki, (iii) z upływem terminu wskazanego w awizo przesyłki wysłanej listem poleconym.</w:t>
      </w:r>
    </w:p>
    <w:p>
      <w:pPr>
        <w:pStyle w:val="Normal"/>
        <w:numPr>
          <w:ilvl w:val="0"/>
          <w:numId w:val="10"/>
        </w:numPr>
        <w:tabs>
          <w:tab w:val="clear" w:pos="709"/>
        </w:tabs>
        <w:spacing w:lineRule="auto" w:line="259" w:before="60" w:after="60"/>
        <w:jc w:val="both"/>
        <w:rPr>
          <w:rFonts w:eastAsia="Times New Roman" w:cs="Calibri" w:cstheme="minorHAnsi"/>
          <w:lang w:eastAsia="pl-PL"/>
        </w:rPr>
      </w:pPr>
      <w:r>
        <w:rPr>
          <w:rFonts w:cs="Calibri" w:cstheme="minorHAnsi"/>
        </w:rPr>
        <w:t>Korespondencja wysłana pocztą elektroniczną na adres e-mail odbiorcy będzie uznana za skutecznie doręczoną we wcześniejszej z dat: (i) w dacie jej dostarczenia do serwera poczty odbiorcy, (ii) w dacie pierwszej próby dostarczenia do serwera poczty odbiorcy, w razie stwierdzenia niemożności dostarczenia, chyba że adresat wykazał, że brak możliwości dostarczenia spowodowany był wadą teletransmisyjną lub techniczną z przyczyn nieleżących po stronie adresata lub zdarzeniem o charakterze siły wyższej</w:t>
      </w:r>
      <w:r>
        <w:rPr>
          <w:rFonts w:eastAsia="Times New Roman" w:cs="Calibri" w:cstheme="minorHAnsi"/>
          <w:lang w:eastAsia="pl-PL"/>
        </w:rPr>
        <w:t xml:space="preserve">, o której mowa w </w:t>
      </w:r>
      <w:r>
        <w:rPr/>
        <w:t>§ 13</w:t>
      </w:r>
      <w:r>
        <w:rPr>
          <w:rFonts w:cs="Calibri" w:cstheme="minorHAnsi"/>
        </w:rPr>
        <w:t>.</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5</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Odbiór przedmiotu Umowy</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Przedmiot Umowy podlega protokolarnemu odbiorowi przez Zamawiającego.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Wzory protokołów odbioru przedmiotu Umowy zawiera </w:t>
      </w:r>
      <w:r>
        <w:rPr>
          <w:rFonts w:eastAsia="Times New Roman" w:cs="Calibri" w:cstheme="minorHAnsi"/>
          <w:u w:val="single"/>
          <w:lang w:eastAsia="pl-PL"/>
        </w:rPr>
        <w:t>Załącznik nr 2</w:t>
      </w:r>
      <w:r>
        <w:rPr>
          <w:rFonts w:eastAsia="Times New Roman" w:cs="Calibri" w:cstheme="minorHAnsi"/>
          <w:lang w:eastAsia="pl-PL"/>
        </w:rPr>
        <w:t xml:space="preserve"> do Umowy. Protokoły sporządzane będą w formie pisemnej albo w formie elektronicznej, według wskazania Zamawiającego.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O gotowości uruchomienia Usługi, Wykonawca zawiadomi Zamawiającego z co najmniej tygodniowym wyprzedzeniem. Do protokołu dotyczącego uruchomienia Usługi dołącza się wyniki testowania i aktywacji Usługi.</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podczas testowania i aktywacji Usługi okaże się, że Wykonawca nie wykonał wszystkich czynności przewidzianych Umową dla uruchomienia Usługi lub</w:t>
      </w:r>
      <w:r>
        <w:rPr>
          <w:rFonts w:cs="Calibri" w:cstheme="minorHAnsi"/>
        </w:rPr>
        <w:t xml:space="preserve"> parametry Usługi wskazane w Umowie</w:t>
      </w:r>
      <w:r>
        <w:rPr>
          <w:rFonts w:eastAsia="Times New Roman" w:cs="Calibri" w:cstheme="minorHAnsi"/>
          <w:lang w:eastAsia="pl-PL"/>
        </w:rPr>
        <w:t xml:space="preserve"> nie są spełnione, Zamawiający może wstrzymać się z podpisaniem protokołu uruchomienia Usługi albo wyrazić zgodę na warunkowe uruchomienie Usługi, wskazując w protokole swoje zastrzeżenia. Taki odbiór z zastrzeżeniami (warunkowy) nie stanowi podstawy do rozpoczęcia odpłatnego świadczenia Usługi.</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dokonania przez Zamawiającego odbioru warunkowego, Wykonawca zobowiązany będzie usunąć wszystkie wady lub inne niezgodności z Umową i przedstawić uruchomienie Usługi ponownie do odbioru w terminie wyznaczonym przez Zamawiającego w protokole odbioru warunkowego.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 czynności odbioru świadczonej Usługi, Strony sporządzą co miesiąc protokół.</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Protokół, o którym mowa w ust. 6 stanowi podstawę do wystawienia przez Wykonawcę faktury z tytułu Usługi świadczonej w miesiącu kalendarzowym, którego protokół dotyczy.</w:t>
      </w:r>
    </w:p>
    <w:p>
      <w:pPr>
        <w:pStyle w:val="Normal"/>
        <w:spacing w:lineRule="auto" w:line="259" w:before="60" w:after="60"/>
        <w:jc w:val="center"/>
        <w:rPr>
          <w:rFonts w:cs="Calibri" w:cstheme="minorHAnsi"/>
          <w:b/>
        </w:rPr>
      </w:pPr>
      <w:r>
        <w:rPr>
          <w:rFonts w:cs="Calibri" w:cstheme="minorHAnsi"/>
          <w:b/>
        </w:rPr>
        <w:t>§ 6</w:t>
      </w:r>
    </w:p>
    <w:p>
      <w:pPr>
        <w:pStyle w:val="Normal"/>
        <w:spacing w:lineRule="auto" w:line="259" w:before="60" w:after="60"/>
        <w:jc w:val="center"/>
        <w:rPr>
          <w:rFonts w:cs="Calibri" w:cstheme="minorHAnsi"/>
          <w:b/>
        </w:rPr>
      </w:pPr>
      <w:r>
        <w:rPr>
          <w:rFonts w:cs="Calibri" w:cstheme="minorHAnsi"/>
          <w:b/>
        </w:rPr>
        <w:t>Wynagrodzenie</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Maksymalna wartość nominalna zobowiązania Zamawiającego wynikającego z Umowy wynosi [●] złotych, w tym należny podatek od towarów i usług.</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Z tytułu należytej realizacji przedmiot Umowy, Wykonawcy należy się wynagrodzenie wyliczone w oparciu o ceny jednostkowe wynikające z oferty Wykonawcy dołączonej jako </w:t>
      </w:r>
      <w:r>
        <w:rPr>
          <w:rFonts w:eastAsia="Times New Roman" w:cs="Calibri" w:cstheme="minorHAnsi"/>
          <w:u w:val="single"/>
          <w:lang w:eastAsia="pl-PL"/>
        </w:rPr>
        <w:t>Załącznik nr 3</w:t>
      </w:r>
      <w:r>
        <w:rPr>
          <w:rFonts w:eastAsia="Times New Roman" w:cs="Calibri" w:cstheme="minorHAnsi"/>
          <w:lang w:eastAsia="pl-PL"/>
        </w:rPr>
        <w:t xml:space="preserve"> do Umowy, tj.:</w:t>
      </w:r>
    </w:p>
    <w:p>
      <w:pPr>
        <w:pStyle w:val="Normal"/>
        <w:numPr>
          <w:ilvl w:val="0"/>
          <w:numId w:val="36"/>
        </w:numPr>
        <w:tabs>
          <w:tab w:val="clear" w:pos="709"/>
        </w:tabs>
        <w:spacing w:lineRule="auto" w:line="259" w:before="60" w:after="60"/>
        <w:ind w:hanging="357" w:left="714"/>
        <w:jc w:val="both"/>
        <w:rPr/>
      </w:pPr>
      <w:r>
        <w:rPr/>
        <w:t>jednorazowa opłata instalacyjna w kwocie [</w:t>
      </w:r>
      <w:r>
        <w:rPr>
          <w:rFonts w:cs="Calibri" w:cstheme="minorHAnsi"/>
        </w:rPr>
        <w:t>●</w:t>
      </w:r>
      <w:r>
        <w:rPr/>
        <w:t>] zł, powiększonej o należny podatek od towarów i usług, tj. [</w:t>
      </w:r>
      <w:r>
        <w:rPr>
          <w:rFonts w:cs="Calibri" w:cstheme="minorHAnsi"/>
        </w:rPr>
        <w:t>●</w:t>
      </w:r>
      <w:r>
        <w:rPr/>
        <w:t>] zł brutto, co stanowi [</w:t>
      </w:r>
      <w:r>
        <w:rPr>
          <w:rFonts w:cs="Calibri" w:cstheme="minorHAnsi"/>
        </w:rPr>
        <w:t>●</w:t>
      </w:r>
      <w:r>
        <w:rPr/>
        <w:t>]% kwoty wskazanej w ust. 1 [oferowana cena jednorazowej opłaty instalacyjnej nie może przewyższyć 10% łącznej wartości oferowanej za realizację zamówienia];</w:t>
      </w:r>
    </w:p>
    <w:p>
      <w:pPr>
        <w:pStyle w:val="Normal"/>
        <w:numPr>
          <w:ilvl w:val="0"/>
          <w:numId w:val="36"/>
        </w:numPr>
        <w:tabs>
          <w:tab w:val="clear" w:pos="709"/>
        </w:tabs>
        <w:spacing w:lineRule="auto" w:line="259" w:before="60" w:after="60"/>
        <w:ind w:hanging="357" w:left="714"/>
        <w:jc w:val="both"/>
        <w:rPr/>
      </w:pPr>
      <w:r>
        <w:rPr/>
        <w:t>abonament w kwocie [</w:t>
      </w:r>
      <w:r>
        <w:rPr>
          <w:rFonts w:cs="Calibri" w:cstheme="minorHAnsi"/>
        </w:rPr>
        <w:t>●</w:t>
      </w:r>
      <w:r>
        <w:rPr/>
        <w:t>] zł netto miesięcznie.</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Wynagrodzenie, o którym mowa w ust. 2 powyżej, obejmuje wszelkie koszty i wydatki związane z realizacją przedmiotu Umowy, w szczególności uwzględnia opłaty należne za dzierżawę wewnętrznej infrastruktury firm trzecich.</w:t>
      </w:r>
    </w:p>
    <w:p>
      <w:pPr>
        <w:pStyle w:val="ListParagraph"/>
        <w:numPr>
          <w:ilvl w:val="0"/>
          <w:numId w:val="16"/>
        </w:numPr>
        <w:tabs>
          <w:tab w:val="clear" w:pos="709"/>
        </w:tabs>
        <w:spacing w:lineRule="auto" w:line="259" w:before="60" w:after="60"/>
        <w:contextualSpacing w:val="false"/>
        <w:jc w:val="both"/>
        <w:rPr>
          <w:rFonts w:eastAsia="Times New Roman" w:cs="Calibri" w:cstheme="minorHAnsi"/>
          <w:lang w:eastAsia="pl-PL"/>
        </w:rPr>
      </w:pPr>
      <w:r>
        <w:rPr>
          <w:rFonts w:cs="Calibri" w:cstheme="minorHAnsi"/>
        </w:rPr>
        <w:t>Zamawiający zgodnie z wymogiem określonym w art. 443 ustawy Pzp płaci wynagrodzenie z tytułu świadczonych usług w częściach, po wykonaniu części umowy, w ten sposób, że:</w:t>
      </w:r>
    </w:p>
    <w:p>
      <w:pPr>
        <w:pStyle w:val="Normal"/>
        <w:numPr>
          <w:ilvl w:val="0"/>
          <w:numId w:val="42"/>
        </w:numPr>
        <w:tabs>
          <w:tab w:val="clear" w:pos="709"/>
        </w:tabs>
        <w:spacing w:lineRule="auto" w:line="259" w:before="60" w:after="60"/>
        <w:ind w:hanging="357" w:left="714"/>
        <w:jc w:val="both"/>
        <w:rPr>
          <w:rFonts w:eastAsia="Times New Roman" w:cs="Calibri" w:cstheme="minorHAnsi"/>
          <w:lang w:eastAsia="pl-PL"/>
        </w:rPr>
      </w:pPr>
      <w:r>
        <w:rPr/>
        <w:t>jednorazowa</w:t>
      </w:r>
      <w:r>
        <w:rPr>
          <w:rFonts w:eastAsia="Times New Roman" w:cs="Calibri" w:cstheme="minorHAnsi"/>
          <w:lang w:eastAsia="pl-PL"/>
        </w:rPr>
        <w:t xml:space="preserve"> opłata instalacyjna, o której mowa w ust. 2 pkt 1 płatna jest jednorazowo na podstawie faktury wystawionej przez Wykonawcę po odbiorze protokolarnym potwierdzającym uruchomienie Usługi bez zastrzeżeń Zamawiającego dokonanym stosownie do § 5, przelewem na rachunek bankowy Wykonawcy wskazany na tej fakturze.</w:t>
      </w:r>
    </w:p>
    <w:p>
      <w:pPr>
        <w:pStyle w:val="Normal"/>
        <w:numPr>
          <w:ilvl w:val="0"/>
          <w:numId w:val="42"/>
        </w:numPr>
        <w:tabs>
          <w:tab w:val="clear" w:pos="709"/>
        </w:tabs>
        <w:spacing w:lineRule="auto" w:line="259" w:before="60" w:after="60"/>
        <w:ind w:hanging="357" w:left="714"/>
        <w:jc w:val="both"/>
        <w:rPr>
          <w:rFonts w:eastAsia="Times New Roman" w:cs="Calibri" w:cstheme="minorHAnsi"/>
          <w:lang w:eastAsia="pl-PL"/>
        </w:rPr>
      </w:pPr>
      <w:r>
        <w:rPr/>
        <w:t>abonament, o którym mowa w ust. 2 pkt 2 płatny jest miesięcznie z dołu, każdorazowo na podstawie faktury wystawionej przez Wykonawcę do 15. dnia miesiąca następującego po zakończeniu danego okresu rozliczeniowego (okresem rozliczeniowym jest miesiąc kalendarzowy; j</w:t>
      </w:r>
      <w:r>
        <w:rPr>
          <w:rFonts w:eastAsia="Times New Roman" w:cs="Calibri" w:cstheme="minorHAnsi"/>
          <w:lang w:eastAsia="pl-PL"/>
        </w:rPr>
        <w:t>eżeli realizacja przedmiotu Umowy nie obejmuje pełnego miesiąca kalendarzowego, wynagrodzenie oblicza się proporcjonalnie, tj. w oparciu o proporcję liczby dni, w które Wykonawca realizował przedmiot Umowy do całkowitej liczby dni w danym miesiącu kalendarzowym, przy czym suma wynagrodzenia za pierwszy i ostatni okres rozliczeniowy nie przekroczy ceny jednostkowej wskazanej w ust. 2 pkt 2.</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Faktury tytułem należnego mu wynagrodzenia Wykonawca wystawi na płatnika: Ministerstwo Sprawiedliwości, Aleje Ujazdowskie 11, 00-567 Warszawa, NIP: 5261673166.</w:t>
      </w:r>
    </w:p>
    <w:p>
      <w:pPr>
        <w:pStyle w:val="Normal"/>
        <w:numPr>
          <w:ilvl w:val="0"/>
          <w:numId w:val="16"/>
        </w:numPr>
        <w:tabs>
          <w:tab w:val="clear" w:pos="709"/>
        </w:tabs>
        <w:spacing w:lineRule="auto" w:line="259" w:before="60" w:after="60"/>
        <w:jc w:val="both"/>
        <w:rPr>
          <w:rFonts w:eastAsia="Times New Roman" w:cs="Calibri"/>
          <w:lang w:eastAsia="pl-PL"/>
        </w:rPr>
      </w:pPr>
      <w:r>
        <w:rPr>
          <w:rFonts w:eastAsia="Times New Roman" w:cs="Calibri"/>
          <w:lang w:eastAsia="pl-PL"/>
        </w:rPr>
        <w:t xml:space="preserve">Termin </w:t>
      </w:r>
      <w:r>
        <w:rPr>
          <w:rFonts w:eastAsia="Times New Roman" w:cs="Calibri" w:cstheme="minorHAnsi"/>
          <w:lang w:eastAsia="pl-PL"/>
        </w:rPr>
        <w:t>płatności</w:t>
      </w:r>
      <w:r>
        <w:rPr>
          <w:rFonts w:eastAsia="Times New Roman" w:cs="Calibri"/>
          <w:lang w:eastAsia="pl-PL"/>
        </w:rPr>
        <w:t xml:space="preserve"> wynagrodzenia wynosi 30 dni od otrzymania przez Zamawiającego dokumentów niezbędnych do </w:t>
      </w:r>
      <w:r>
        <w:rPr>
          <w:rFonts w:eastAsia="Times New Roman" w:cs="Calibri" w:cstheme="minorHAnsi"/>
          <w:lang w:eastAsia="pl-PL"/>
        </w:rPr>
        <w:t>rozliczenia</w:t>
      </w:r>
      <w:r>
        <w:rPr>
          <w:rFonts w:eastAsia="Times New Roman" w:cs="Calibri"/>
          <w:lang w:eastAsia="pl-PL"/>
        </w:rPr>
        <w:t xml:space="preserve"> płatności, tj. podpisanego przez Strony protokołu odbioru i prawidłowo wystawionej faktury, przy czym Strony zgodnie postanawiają, że:</w:t>
      </w:r>
    </w:p>
    <w:p>
      <w:pPr>
        <w:pStyle w:val="Normal"/>
        <w:numPr>
          <w:ilvl w:val="0"/>
          <w:numId w:val="40"/>
        </w:numPr>
        <w:spacing w:lineRule="auto" w:line="259" w:before="60" w:after="60"/>
        <w:ind w:hanging="357" w:left="709"/>
        <w:jc w:val="both"/>
        <w:rPr>
          <w:rFonts w:eastAsia="Times New Roman" w:cs="Calibri"/>
          <w:lang w:eastAsia="pl-PL"/>
        </w:rPr>
      </w:pPr>
      <w:r>
        <w:rPr>
          <w:rFonts w:eastAsia="Times New Roman" w:cs="Calibri"/>
          <w:lang w:eastAsia="pl-PL"/>
        </w:rPr>
        <w:t xml:space="preserve">jeśli Wykonawca nie jest objęty obowiązkiem wystawiania faktur ustrukturyzowanych przy użyciu KSeF, prześle te dokumenty pocztą elektroniczną na adres faktury.dirs@ms.gov.pl, </w:t>
      </w:r>
      <w:r>
        <w:rPr>
          <w:rFonts w:cs="Calibri" w:cstheme="minorHAnsi"/>
        </w:rPr>
        <w:t>względnie</w:t>
      </w:r>
      <w:r>
        <w:rPr>
          <w:rFonts w:eastAsia="Times New Roman" w:cs="Calibri"/>
          <w:lang w:eastAsia="pl-PL"/>
        </w:rPr>
        <w:t xml:space="preserve"> dostarczy je na adres: Departament Informatyzacji i Rejestrów Sądowych Ministerstwa Sprawiedliwości, ul. Czerniakowska 100, 00-454 Warszawa;</w:t>
      </w:r>
    </w:p>
    <w:p>
      <w:pPr>
        <w:pStyle w:val="Normal"/>
        <w:numPr>
          <w:ilvl w:val="0"/>
          <w:numId w:val="40"/>
        </w:numPr>
        <w:spacing w:lineRule="auto" w:line="259" w:before="0" w:after="0"/>
        <w:ind w:hanging="360" w:left="709"/>
        <w:jc w:val="both"/>
        <w:rPr>
          <w:rFonts w:eastAsia="Times New Roman" w:cs="Calibri"/>
          <w:lang w:eastAsia="pl-PL"/>
        </w:rPr>
      </w:pPr>
      <w:r>
        <w:rPr>
          <w:rFonts w:eastAsia="Times New Roman" w:cs="Calibri"/>
          <w:lang w:eastAsia="pl-PL"/>
        </w:rPr>
        <w:t>jeśli Wykonawca jest objęty obowiązkiem wystawiania faktur ustrukturyzowanych przy użyciu KSeF, Wykonawca prześle te dokumenty, z wyjątkiem faktury, pocztą elektroniczną na adres faktury.dirs@ms.gov.pl, względnie dostarczy je na adres: Departament Informatyzacji i Rejestrów Sądowych Ministerstwa Sprawiedliwości, ul. Czerniakowska 100, 00-454 Warszawa, a fakturę udostępni przy użyciu KSeF zgodnie z obowiązującymi przepisami.</w:t>
      </w:r>
    </w:p>
    <w:p>
      <w:pPr>
        <w:pStyle w:val="Normal"/>
        <w:numPr>
          <w:ilvl w:val="0"/>
          <w:numId w:val="16"/>
        </w:numPr>
        <w:tabs>
          <w:tab w:val="clear" w:pos="709"/>
        </w:tabs>
        <w:spacing w:lineRule="auto" w:line="259" w:before="60" w:after="60"/>
        <w:jc w:val="both"/>
        <w:rPr>
          <w:rFonts w:eastAsia="Times New Roman" w:cs="Calibri"/>
          <w:lang w:eastAsia="pl-PL"/>
        </w:rPr>
      </w:pPr>
      <w:r>
        <w:rPr>
          <w:rFonts w:eastAsia="Times New Roman" w:cs="Calibri"/>
          <w:lang w:eastAsia="pl-PL"/>
        </w:rPr>
        <w:t xml:space="preserve">Za </w:t>
      </w:r>
      <w:r>
        <w:rPr>
          <w:rFonts w:eastAsia="Times New Roman" w:cs="Calibri" w:cstheme="minorHAnsi"/>
          <w:lang w:eastAsia="pl-PL"/>
        </w:rPr>
        <w:t>dotrzymanie</w:t>
      </w:r>
      <w:r>
        <w:rPr>
          <w:rFonts w:eastAsia="Times New Roman" w:cs="Calibri"/>
          <w:lang w:eastAsia="pl-PL"/>
        </w:rPr>
        <w:t xml:space="preserve"> terminu zapłaty uważa się złożenie przez Zamawiającego w terminie płatności </w:t>
      </w:r>
      <w:r>
        <w:rPr>
          <w:rFonts w:eastAsia="Times New Roman" w:cs="Calibri" w:cstheme="minorHAnsi"/>
          <w:lang w:eastAsia="pl-PL"/>
        </w:rPr>
        <w:t>polecenia</w:t>
      </w:r>
      <w:r>
        <w:rPr>
          <w:rFonts w:eastAsia="Times New Roman" w:cs="Calibri"/>
          <w:lang w:eastAsia="pl-PL"/>
        </w:rPr>
        <w:t xml:space="preserve"> przelewu w banku obsługującym Ministerstwo Sprawiedliwości.</w:t>
      </w:r>
    </w:p>
    <w:p>
      <w:pPr>
        <w:pStyle w:val="Normal"/>
        <w:numPr>
          <w:ilvl w:val="0"/>
          <w:numId w:val="16"/>
        </w:numPr>
        <w:tabs>
          <w:tab w:val="clear" w:pos="709"/>
        </w:tabs>
        <w:spacing w:lineRule="auto" w:line="259" w:before="60" w:after="60"/>
        <w:jc w:val="both"/>
        <w:rPr>
          <w:rFonts w:eastAsia="Times New Roman" w:cs="Calibri"/>
          <w:bCs/>
          <w:lang w:eastAsia="pl-PL"/>
        </w:rPr>
      </w:pPr>
      <w:r>
        <w:rPr>
          <w:rFonts w:eastAsia="Times New Roman" w:cs="Calibri" w:cstheme="minorHAnsi"/>
          <w:lang w:eastAsia="pl-PL"/>
        </w:rPr>
        <w:t>Wykonawca</w:t>
      </w:r>
      <w:r>
        <w:rPr>
          <w:rFonts w:eastAsia="Times New Roman" w:cs="Calibri"/>
          <w:bCs/>
          <w:lang w:eastAsia="pl-PL"/>
        </w:rPr>
        <w:t xml:space="preserve"> zobowiązany jest wystawiać faktury </w:t>
      </w:r>
      <w:r>
        <w:rPr>
          <w:rFonts w:eastAsia="Times New Roman" w:cs="Calibri"/>
          <w:lang w:eastAsia="pl-PL"/>
        </w:rPr>
        <w:t>ustrukturyzowane</w:t>
      </w:r>
      <w:r>
        <w:rPr>
          <w:rFonts w:eastAsia="Times New Roman" w:cs="Calibri"/>
          <w:bCs/>
          <w:lang w:eastAsia="pl-PL"/>
        </w:rPr>
        <w:t xml:space="preserve"> w ten sposób, że wypełnia pola według </w:t>
      </w:r>
      <w:r>
        <w:rPr>
          <w:rFonts w:eastAsia="Times New Roman" w:cs="Calibri" w:cstheme="minorHAnsi"/>
          <w:lang w:eastAsia="pl-PL"/>
        </w:rPr>
        <w:t>poniższego</w:t>
      </w:r>
      <w:r>
        <w:rPr>
          <w:rFonts w:eastAsia="Times New Roman" w:cs="Calibri"/>
          <w:bCs/>
          <w:lang w:eastAsia="pl-PL"/>
        </w:rPr>
        <w:t xml:space="preserve"> wzoru:</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"Nabywca": Ministerstwo Sprawiedliwości, Aleje Ujazdowskie 11, 00-567 Warszawa, NIP: 5261673166;</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"Warunki transakcji": wskazać datę zawarcia i numer umowy;</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"Pozostałe informacje" (stopka faktury): DIRS.</w:t>
      </w:r>
    </w:p>
    <w:p>
      <w:pPr>
        <w:pStyle w:val="Normal"/>
        <w:spacing w:lineRule="auto" w:line="259" w:before="60" w:after="60"/>
        <w:jc w:val="center"/>
        <w:rPr>
          <w:rFonts w:cs="Calibri" w:cstheme="minorHAnsi"/>
          <w:b/>
        </w:rPr>
      </w:pPr>
      <w:r>
        <w:rPr>
          <w:rFonts w:cs="Calibri" w:cstheme="minorHAnsi"/>
          <w:b/>
        </w:rPr>
        <w:t>§ 7</w:t>
      </w:r>
    </w:p>
    <w:p>
      <w:pPr>
        <w:pStyle w:val="Normal"/>
        <w:spacing w:lineRule="auto" w:line="259" w:before="60" w:after="60"/>
        <w:jc w:val="center"/>
        <w:rPr>
          <w:rFonts w:cs="Calibri" w:cstheme="minorHAnsi"/>
          <w:b/>
        </w:rPr>
      </w:pPr>
      <w:r>
        <w:rPr>
          <w:rFonts w:cs="Calibri" w:cstheme="minorHAnsi"/>
          <w:b/>
        </w:rPr>
        <w:t xml:space="preserve">Kary umowne </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Wykonawca zapłaci Zamawiającemu kary umowne w następujących okolicznościach i wysokościach: </w:t>
      </w:r>
    </w:p>
    <w:p>
      <w:pPr>
        <w:pStyle w:val="Normal"/>
        <w:numPr>
          <w:ilvl w:val="0"/>
          <w:numId w:val="18"/>
        </w:numPr>
        <w:tabs>
          <w:tab w:val="clear" w:pos="709"/>
        </w:tabs>
        <w:spacing w:lineRule="auto" w:line="259" w:before="60" w:after="60"/>
        <w:ind w:hanging="357" w:left="714"/>
        <w:jc w:val="both"/>
        <w:rPr>
          <w:rFonts w:cs="Calibri" w:cstheme="minorHAnsi"/>
        </w:rPr>
      </w:pPr>
      <w:r>
        <w:rPr>
          <w:rFonts w:eastAsia="Times New Roman" w:cs="Calibri" w:cstheme="minorHAnsi"/>
          <w:lang w:eastAsia="pl-PL"/>
        </w:rPr>
        <w:t xml:space="preserve">w </w:t>
      </w:r>
      <w:r>
        <w:rPr>
          <w:rFonts w:cs="Calibri" w:cstheme="minorHAnsi"/>
        </w:rPr>
        <w:t>wysokości 20% wartości Umowy wskazanej w § 6 ust. 1, w razie odstąpienia od Umowy z powodu okoliczności po stronie Wykonawcy;</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0,2% wartości Umowy wskazanej w § 6 ust. 1 za każdy dzień zwłoki w uruchomieniu Usługi w terminie wynikającym z § 2 ust. 1;</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0,02% wartości Umowy wskazanej w § 6 ust. 1 za każdy dzień zwłoki w przedłożeniu dokumentacji powykonawczej w terminie wynikającym z § 1 ust. 3;</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1,5% ceny jednostkowej - stawki abonamentu miesięcznego brutto wskazanej w § 6 ust. 2 pkt 2 za każdą rozpoczętą godzinę</w:t>
      </w:r>
      <w:r>
        <w:rPr/>
        <w:t xml:space="preserve"> </w:t>
      </w:r>
      <w:r>
        <w:rPr>
          <w:rFonts w:cs="Calibri" w:cstheme="minorHAnsi"/>
        </w:rPr>
        <w:t xml:space="preserve">niedostępności Usługi powyżej liczby godzin Czasu niedostępności (CN) określonej w § 3 ust. 17 pkt 1 w skali miesiąca [tj. </w:t>
      </w:r>
      <w:r>
        <w:rPr/>
        <w:t>w przypadku niedotrzymania zagwarantowanego w § 3 ust. 17 pkt 1 poziomu Dostępności Miesięcznej (DM)]</w:t>
      </w:r>
      <w:r>
        <w:rPr>
          <w:rFonts w:cs="Calibri" w:cstheme="minorHAnsi"/>
        </w:rPr>
        <w:t>, przy czym naliczone z tego tytułu kary umowne nie mogą przewyższyć wartości abonamentu za dany okres rozliczeniowy;</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100 000 złotych za każdy przypadek naruszenia zasad poufności lub bezpieczeństwa informacji wskazanych w § 10, o ile skutkiem naruszenia był wyciek lub utrata informacji poufnych przetwarzanych w systemie teleinformatycznym Zamawiającego;</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5000 złotych za każdy przypadek naruszenia zasad poufności lub bezpieczeństwa informacji nieobjętych pkt. 5 powyżej,</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przypadku naruszenia zobowiązania Wykonawcy z tytułu braku zapłaty lub nieterminowej zapłaty wynagrodzenia należnego podwykonawcom z tytułu okoliczności wskazanych w § 14 ust. 7, Zamawiający naliczy Wykonawcy karę umowną w wysokości 1000 złotych za każdy taki przypadek.</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Kary umowne należą się Zamawiającemu, o ile uchybienie nie wynikało z okoliczności </w:t>
      </w:r>
      <w:r>
        <w:rPr>
          <w:rFonts w:cs="Calibri" w:cstheme="minorHAnsi"/>
        </w:rPr>
        <w:t>siły wyższej,</w:t>
      </w:r>
      <w:r>
        <w:rPr>
          <w:rFonts w:eastAsia="Times New Roman" w:cs="Calibri" w:cstheme="minorHAnsi"/>
          <w:lang w:eastAsia="pl-PL"/>
        </w:rPr>
        <w:t xml:space="preserve"> o której mowa w </w:t>
      </w:r>
      <w:r>
        <w:rPr/>
        <w:t>§ 13</w:t>
      </w:r>
      <w:r>
        <w:rPr>
          <w:rFonts w:cs="Calibri" w:cstheme="minorHAnsi"/>
        </w:rPr>
        <w:t xml:space="preserve"> lub z wyłącznej winy Zamawiającego</w:t>
      </w:r>
      <w:r>
        <w:rPr>
          <w:rFonts w:eastAsia="Times New Roman" w:cs="Calibri" w:cstheme="minorHAnsi"/>
          <w:lang w:eastAsia="pl-PL"/>
        </w:rPr>
        <w:t xml:space="preserve">, przy czym każde uchybienie w terminowej realizacji przedmiotu Umowy przez Wykonawcę będzie traktowane przez Strony za zwłokę, chyba że Wykonawca udowodni, że opóźnienie wynikało z okoliczności </w:t>
      </w:r>
      <w:r>
        <w:rPr>
          <w:rFonts w:cs="Calibri" w:cstheme="minorHAnsi"/>
        </w:rPr>
        <w:t xml:space="preserve">siły wyższej, </w:t>
        <w:br/>
      </w:r>
      <w:r>
        <w:rPr>
          <w:rFonts w:eastAsia="Times New Roman" w:cs="Calibri" w:cstheme="minorHAnsi"/>
          <w:lang w:eastAsia="pl-PL"/>
        </w:rPr>
        <w:t xml:space="preserve">o której mowa w </w:t>
      </w:r>
      <w:r>
        <w:rPr/>
        <w:t>§ 13</w:t>
      </w:r>
      <w:r>
        <w:rPr>
          <w:rFonts w:cs="Calibri" w:cstheme="minorHAnsi"/>
        </w:rPr>
        <w:t xml:space="preserve"> lub z wyłącznej winy Zamawiającego</w:t>
      </w:r>
      <w:r>
        <w:rPr>
          <w:rFonts w:eastAsia="Times New Roman" w:cs="Calibri" w:cstheme="minorHAnsi"/>
          <w:lang w:eastAsia="pl-PL"/>
        </w:rPr>
        <w:t>.</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Kary umowne 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Kary umowne Zamawiający może wg swojego uznania potrącić z należnego Wykonawcy wynagrodzenia lub z zabezpieczenia należytego wykonania Umowy.</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Łączna maksymalna wysokość kar umownych, których Zamawiający może dochodzić od Wykonawcy na podstawie niniejszej Umowy równa jest 30% </w:t>
      </w:r>
      <w:r>
        <w:rPr>
          <w:rFonts w:cs="Calibri" w:cstheme="minorHAnsi"/>
        </w:rPr>
        <w:t>wartości Umowy wskazanej w § 6 ust. 1</w:t>
      </w:r>
      <w:r>
        <w:rPr>
          <w:rFonts w:eastAsia="Times New Roman" w:cs="Calibri" w:cstheme="minorHAnsi"/>
          <w:lang w:eastAsia="pl-PL"/>
        </w:rPr>
        <w:t>.</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Niezależnie od kar umownych, Zamawiający może dochodzić od Wykonawcy również odszkodowania na zasadach ogólnych.</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Strony wyłączają odpowiedzialność z tytułu utraconych korzyści.</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8</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Prawa własności intelektualnej</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Wykonawca zobowiązuje się przenieść na Zamawiającego, w ramach wynagrodzenia umownego, autorskie prawa majątkowe do wszelkiej dokumentacji wytworzonej na potrzeby Umowy (projekt techniczny, projekt wykonawczy, dokumentacja powykonawcza), jak również wszelkich innych utworów w rozumieniu Ustawy z dnia 4 lutego 1994 r. o prawie autorskim i prawach pokrewnych dostarczonych lub stworzonych w ramach Umowy, jak również poszczególnych ich elementów, na polach eksploatacji, o których mowa w art. 50 ww. ustawy, w tym:</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flash lub jakimkolwiek innym nośniku pamięci;</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Dla uniknięcia wątpliwości Strony potwierdzają, że Zamawiający ma prawo do dowolnej modyfikacji takich utworów. Wykonawca zobowiązuje się przenieść na Zamawiającego: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prawo zezwalania na wykonywanie zależnych praw autorskich do wszelkich opracowań utworów (lub ich poszczególnych elementów), tj. prawo zezwalania na rozporządzanie i korzystanie z takich opracowań na polach eksploatacji wskazanych powyżej,</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własność wydanych Zamawiającemu nośników, na których zostały utrwalone utwory (lub ich poszczególne elementy) w celu ich przekazania Zamawiającemu, z chwilą wydania tych nośników Zamawiającemu.</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Przeniesienie praw, o którym mowa powyżej, nastąpi z chwilą wydania nośnika, względnie pierwszego udostępnienia Zamawiającemu danego utworu.</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Wykonawca zobowiązuje się do niewykonywania praw osobistych do ww. utworów, jak również zobowiązuje się, iż osoby uprawnione z tytułu osobistych praw do ww. utworów (lub ich poszczególnych elementów), nie będą wykonywać tych praw, w tym w szczególności prawa do: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decydowania o pierwszym publicznym udostępnieniu;</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decydowania o wycofaniu z obrotu;</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nadzoru autorskiego;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nienaruszalności formy i treści oraz ich rzetelnego wykorzystania;</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oznaczenia swoim nazwiskiem lub pseudonimem.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Niezależnie od postanowień ustępów powyżej, Wykonawca zezwala Zamawiającemu na korzystanie z wiedzy technicznej, organizacyjnej i innej, zawartej w materiałach przekazanych Zamawiającemu w ramach realizacji Umowy. Wiedza ta może być wykorzystana w dowolny sposób przez Zamawiającego, w tym udostępniana osobom trzecim.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 xml:space="preserve">W przypadku zgłoszenia przez osoby trzecie roszczeń dotyczących naruszenia praw własności intelektualnej, w tym praw autorskich, w związku z korzystaniem przez Zamawiającego z ww. utworów, będzie je kierował wprost do Wykonawcy, zaś Wykonawca niezwłocznie: </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wstąpi w miejsce Zamawiającego, a jeśli to niemożliwe przystąpi, do wszelkich postępowań sądowych lub pozasądowych toczących się z udziałem Zamawiającego w związku z tymi roszczeniami;</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zapewni należytą ochronę interesów Zamawiającego w pełnym zakresie;</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wyrówna uszczerbek doznany przez Zamawiającego na skutek naruszenia praw osób trzecich;</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przejmie zobowiązania i w tym zakresie zwolni Zamawiającego z wszelkich zobowiązań z tytułu naruszenia praw osób trzecich poprzez ich wykonanie, a zwłaszcza spełnienie świadczeń wynikających z orzeczeń nakazujących Zamawiającemu zapłatę;</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zwolni Zamawiającego od odpowiedzialności w stosunku do takich osób trzecich, w szczególności twórców, o których mowa w ust. 4;</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zwróci Zamawiającemu wszelkie koszty i wydatki, które Zamawiający poniósł w celu zmniejszenia rozmiaru szkód oraz ochrony przed roszczeniami, w tym wypłacone odszkodowania.</w:t>
      </w:r>
    </w:p>
    <w:p>
      <w:pPr>
        <w:pStyle w:val="Normal"/>
        <w:spacing w:lineRule="auto" w:line="259" w:before="60" w:after="60"/>
        <w:jc w:val="center"/>
        <w:rPr>
          <w:rFonts w:cs="Calibri" w:cstheme="minorHAnsi"/>
          <w:b/>
        </w:rPr>
      </w:pPr>
      <w:r>
        <w:rPr>
          <w:rFonts w:cs="Calibri" w:cstheme="minorHAnsi"/>
          <w:b/>
        </w:rPr>
        <w:t>§ 9</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Gwarantowany serwis techniczny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zapewni monitoring sprawności działania łącza oraz obsługę zgłoszeń w zakresie problemów eksploatacyjnych 365 dni w roku, 7 dni w tygodniu, 24 godziny na dobę, w tym również w soboty, niedziele oraz dni ustawowo wolne od pracy (24/7/365, względnie 24/7/366 w roku przestępnym).</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gwarantuje, że usługa serwisu technicznego obejmuje usuwanie Awarii po ich wykryciu przez Wykonawcę lub po ich zgłoszeniu przez Zamawiającego. Zamawiający wymaga zapewnienia co najmniej następujących form zgłaszania Awarii:</w:t>
      </w:r>
    </w:p>
    <w:p>
      <w:pPr>
        <w:pStyle w:val="ListParagraph"/>
        <w:numPr>
          <w:ilvl w:val="2"/>
          <w:numId w:val="3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 xml:space="preserve">na specjalnie do tego celu wydzielony bezpłatny numer telefoniczny, </w:t>
      </w:r>
    </w:p>
    <w:p>
      <w:pPr>
        <w:pStyle w:val="ListParagraph"/>
        <w:numPr>
          <w:ilvl w:val="2"/>
          <w:numId w:val="3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na adres poczty elektronicznej.</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wymaga od Wykonawcy zapewnienia, aby wszystkie z wyżej wymienionych form zgłaszania Awarii były dostępne przez 24 godziny na dobę, 7 dni w tygodniu, 365 dni w roku (24/7/365, a w roku przestępnym 24/7/366).</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wymaga, aby Wykonawca w przypadku wystąpienia Awarii odnotował to zdarzenie w dedykowanym serwisie obsługi zgłoszeń i przystąpił do jej usunięcia. Zamawiający wymaga aktualizowania na bieżąco statusu zgłoszenia tak, aby zawierał co najmniej datę oraz czas wykrycia lub zgłoszenia Awarii, datę oraz czas zakończenia realizacji zgłoszenia oraz przyczynę Awarii i sposób obsługi zgłoszenia. Wykonawca zapewni Zamawiającemu dostęp do dedykowanego serwisu w trybie „tylko do odczytu” poprzez przeglądarkę internetową.</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zastrzega sobie możliwość samodzielnego zgłaszania Awarii niewykrytych przez Wykonawcę, niezwłocznie po ich stwierdzeniu, w sposób podany w ust. 2.</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Wykonawca niezwłocznie po wykryciu Awarii lub otrzymaniu informacji, o której mowa w ust. 5, w czasie nie dłuższym niż CR określony w § 3 ust. 17 pkt 3, ewidencjonuje zgłoszenie w serwisie obsługi zgłoszeń, przystępuje do jej usunięcia oraz informuje Zamawiającego o przyjętym zgłoszeniu.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Potwierdzenie przyjęcia zgłoszenia, o którym mowa w ust. 5, w czasie nie dłuższym niż CR określony w § 3 ust. 17 pkt 3, polega na poinformowaniu Zamawiającego przez Wykonawcę pocztą elektroniczną lub telefonicznie o zarejestrowaniu zgłoszenia, wraz z podaniem co najmniej numeru zgłoszenia oraz daty i godziny zgłoszenia.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Awarię uznaje się za usuniętą po jej usunięciu i przywróceniu Usługi o parametrach wskazanych w Umowie oraz poinformowaniu o tym Zamawiającego, o ile Zamawiający nie poinformuje Wykonawcy, że nadal nie jest możliwe korzystanie z Usługi. Informacja dla Zamawiającego zawiera co najmniej numer i godzinę zgłoszenia oraz godzinę usunięcia Awarii.</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Zgłoszenia Awarii przez Zamawiającego, polegające na poinformowaniu Wykonawcy o jej wystąpieniu, będą przekazywane zgodnie z ust. 2 na numer telefonu i adres e-mail przeznaczony przez Wykonawcę do tego celu i wpisany w tabeli 2 w </w:t>
      </w:r>
      <w:r>
        <w:rPr>
          <w:rFonts w:eastAsia="Times New Roman" w:cs="Calibri" w:cstheme="minorHAnsi"/>
          <w:u w:val="single"/>
          <w:lang w:eastAsia="pl-PL"/>
        </w:rPr>
        <w:t>Załączniku nr 4</w:t>
      </w:r>
      <w:r>
        <w:rPr>
          <w:rFonts w:eastAsia="Times New Roman" w:cs="Calibri" w:cstheme="minorHAnsi"/>
          <w:lang w:eastAsia="pl-PL"/>
        </w:rPr>
        <w:t xml:space="preserve"> do Umowy. Natomiast zawiadomienia o wykryciu Awarii przez Wykonawcę będą przekazywane Zamawiającemu telefonicznie lub pocztą elektroniczną, na numer telefonu i adres e-mail przeznaczony przez Zamawiającego do tego celu i wpisany w tabeli 1 w </w:t>
      </w:r>
      <w:r>
        <w:rPr>
          <w:rFonts w:eastAsia="Times New Roman" w:cs="Calibri" w:cstheme="minorHAnsi"/>
          <w:u w:val="single"/>
          <w:lang w:eastAsia="pl-PL"/>
        </w:rPr>
        <w:t>Załączniku nr 4</w:t>
      </w:r>
      <w:r>
        <w:rPr>
          <w:rFonts w:eastAsia="Times New Roman" w:cs="Calibri" w:cstheme="minorHAnsi"/>
          <w:lang w:eastAsia="pl-PL"/>
        </w:rPr>
        <w:t xml:space="preserve"> do Umowy.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Na wezwanie Zamawiającego Wykonawca zobowiązany jest informować Zamawiającego o statusie zgłoszenia we wskazany sposób.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Do CN nie wlicza się:</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Okien serwisowych;</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okresu, w którym zaistniał brak dostępu pracowników Wykonawcy do pomieszczeń Zamawiającego, do których dostęp jest niezbędny do usunięcia Awarii. W takim przypadku Wykonawca zobowiązany jest niezwłocznie telefonicznie lub pocztą elektroniczną powiadomić Zamawiającego o braku możliwości dostępu do pomieszczeń. Zamawiający po otrzymaniu zgłoszenia telefonicznego lub wiadomości pocztą elektroniczną niezwłocznie poinformuje Wykonawcę o terminie, w którym dostęp do pomieszczeń zostanie zapewniony;</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okresu, w którym zaistniał brak zasilania urządzeń w pomieszczeniach Zamawiającego;</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 xml:space="preserve">okresu niedostępności spowodowanej siłą wyższą, o której mowa w </w:t>
      </w:r>
      <w:r>
        <w:rPr/>
        <w:t>§ 13;</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przerw w świadczeniu Usługi spowodowanych uszkodzeniem urządzeń telekomunikacyjnych, za które odpowiedzialność ponosi Zamawiający.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udziela Zamawiającemu informacji na piśmie wraz z uzasadnieniem w przypadku niezakwalifikowania Awarii i jej CUA do CN.</w:t>
      </w:r>
    </w:p>
    <w:p>
      <w:pPr>
        <w:pStyle w:val="Normal"/>
        <w:numPr>
          <w:ilvl w:val="0"/>
          <w:numId w:val="4"/>
        </w:numPr>
        <w:tabs>
          <w:tab w:val="clear" w:pos="709"/>
        </w:tabs>
        <w:suppressAutoHyphens w:val="true"/>
        <w:spacing w:lineRule="auto" w:line="259" w:before="60" w:after="60"/>
        <w:jc w:val="both"/>
        <w:rPr>
          <w:rFonts w:cs="Calibri" w:cstheme="minorHAnsi"/>
        </w:rPr>
      </w:pPr>
      <w:r>
        <w:rPr>
          <w:rFonts w:cs="Calibri" w:cstheme="minorHAnsi"/>
        </w:rPr>
        <w:t>W razie niewykonania zobowiązań wynikających z gwarantowanego serwisu technicznego, Zamawiający będzie uprawniony, po bezskutecznym upływie terminu 14 dni wyznaczonego Wykonawcy, powierzyć osobie trzeciej wykonanie takiego zobowiązania na koszt i ryzyko Wykonawcy, bez upoważnienia przez sąd (zastępcze wykonanie zobowiązania). Wykonawca zwróci Zamawiającemu na wezwanie, udokumentowane koszty i wydatki związane z zastępczym wykonaniem zobowiązania, w terminie wskazanym w wezwaniu, nie krótszym niż 14 dni.</w:t>
      </w:r>
    </w:p>
    <w:p>
      <w:pPr>
        <w:pStyle w:val="Normal"/>
        <w:numPr>
          <w:ilvl w:val="0"/>
          <w:numId w:val="4"/>
        </w:numPr>
        <w:tabs>
          <w:tab w:val="clear" w:pos="709"/>
        </w:tabs>
        <w:suppressAutoHyphens w:val="true"/>
        <w:spacing w:lineRule="auto" w:line="259" w:before="60" w:after="60"/>
        <w:jc w:val="both"/>
        <w:rPr>
          <w:rFonts w:cs="Calibri" w:cstheme="minorHAnsi"/>
        </w:rPr>
      </w:pPr>
      <w:r>
        <w:rPr>
          <w:rFonts w:cs="Calibri" w:cstheme="minorHAnsi"/>
        </w:rPr>
        <w:t>Postanowienia ust. 13 stosuje się analogicznie w przypadku nienależytego wykonywania zobowiązań wynikających z gwarantowanego serwisu technicznego, jeżeli w wyznaczonym terminie Wykonawca nie przystąpił do należytego ich wykonywania lub nie usunął skutków nienależytego ich wykonywania.</w:t>
      </w:r>
    </w:p>
    <w:p>
      <w:pPr>
        <w:pStyle w:val="Normal"/>
        <w:spacing w:lineRule="auto" w:line="259" w:before="60" w:after="60"/>
        <w:jc w:val="center"/>
        <w:rPr>
          <w:rFonts w:cs="Calibri" w:cstheme="minorHAnsi"/>
          <w:b/>
        </w:rPr>
      </w:pPr>
      <w:r>
        <w:rPr>
          <w:rFonts w:cs="Calibri" w:cstheme="minorHAnsi"/>
          <w:b/>
        </w:rPr>
        <w:t>§ 10</w:t>
      </w:r>
    </w:p>
    <w:p>
      <w:pPr>
        <w:pStyle w:val="Normal"/>
        <w:spacing w:lineRule="auto" w:line="259" w:before="60" w:after="60"/>
        <w:jc w:val="center"/>
        <w:rPr>
          <w:rFonts w:cs="Calibri" w:cstheme="minorHAnsi"/>
          <w:b/>
          <w:kern w:val="2"/>
        </w:rPr>
      </w:pPr>
      <w:bookmarkStart w:id="2" w:name="_Hlk148975813"/>
      <w:r>
        <w:rPr>
          <w:rFonts w:cs="Calibri" w:cstheme="minorHAnsi"/>
          <w:b/>
        </w:rPr>
        <w:t xml:space="preserve">Klauzula poufności i bezpieczeństwo informacji </w:t>
      </w:r>
    </w:p>
    <w:p>
      <w:pPr>
        <w:pStyle w:val="Normal"/>
        <w:numPr>
          <w:ilvl w:val="0"/>
          <w:numId w:val="11"/>
        </w:numPr>
        <w:suppressAutoHyphens w:val="true"/>
        <w:spacing w:lineRule="auto" w:line="259" w:before="60" w:after="60"/>
        <w:ind w:hanging="357" w:left="357"/>
        <w:jc w:val="both"/>
        <w:rPr>
          <w:rFonts w:cs="Calibri" w:cstheme="minorHAnsi"/>
          <w:lang w:eastAsia="ar-SA"/>
        </w:rPr>
      </w:pPr>
      <w:bookmarkStart w:id="3" w:name="_Ref480986778"/>
      <w:bookmarkEnd w:id="2"/>
      <w:r>
        <w:rPr>
          <w:rFonts w:cs="Calibri" w:cstheme="minorHAnsi"/>
          <w:lang w:eastAsia="ar-SA"/>
        </w:rPr>
        <w:t>Wykonawca zobowiązuje się do zachowania w poufności wszelkich Informacji, do których uzyskał dostęp lub zapoznał się z nimi w związku z realizacją Umowy lub choćby przy tej okazji. Poufnością objęte są także Informacje przekazane Wykonawcy w toku postępowania poprzedzającego zawarcie Umowy, oznaczone jako poufne lub co do których Zamawiający w inny sposób poinformował Wykonawcę, że traktuje je jako poufne.</w:t>
      </w:r>
      <w:bookmarkEnd w:id="3"/>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Dla uniknięcia wątpliwości Strony potwierdzają, że:</w:t>
      </w:r>
    </w:p>
    <w:p>
      <w:pPr>
        <w:pStyle w:val="Normal"/>
        <w:numPr>
          <w:ilvl w:val="1"/>
          <w:numId w:val="22"/>
        </w:numPr>
        <w:spacing w:lineRule="auto" w:line="259" w:before="60" w:after="60"/>
        <w:jc w:val="both"/>
        <w:rPr>
          <w:rFonts w:cs="Calibri" w:cstheme="minorHAnsi"/>
          <w:lang w:eastAsia="ar-SA"/>
        </w:rPr>
      </w:pPr>
      <w:r>
        <w:rPr>
          <w:rFonts w:cs="Calibri" w:cstheme="minorHAnsi"/>
          <w:lang w:eastAsia="ar-SA"/>
        </w:rPr>
        <w:t>poufnością objęte są Informacje bez względu na ich postać lub formę przekazania;</w:t>
      </w:r>
    </w:p>
    <w:p>
      <w:pPr>
        <w:pStyle w:val="Normal"/>
        <w:numPr>
          <w:ilvl w:val="1"/>
          <w:numId w:val="22"/>
        </w:numPr>
        <w:spacing w:lineRule="auto" w:line="259" w:before="60" w:after="60"/>
        <w:jc w:val="both"/>
        <w:rPr>
          <w:rFonts w:cs="Calibri" w:cstheme="minorHAnsi"/>
          <w:lang w:eastAsia="ar-SA"/>
        </w:rPr>
      </w:pPr>
      <w:r>
        <w:rPr>
          <w:rFonts w:cs="Calibri" w:cstheme="minorHAnsi"/>
          <w:lang w:eastAsia="ar-SA"/>
        </w:rPr>
        <w:t>nie są uważane za poufne Informacje, które Zamawiający obowiązany jest na mocy ustawy podać do publicznej wiadomości lub w inny sposób ujawnić.</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zobowiązuje się:</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nie ujawniać innym podmiotom Informacji, co do których Wykonawca nie uzyskał uprzednio stosownej zgody Zamawiającego wyrażonej formie pisemnej lub w formie elektronicznej pod rygorem nieważności;</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Informacje wykorzystywać wyłącznie w zakresie niezbędnym do realizacji Umowy;</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przetwarzać Informacje wyłącznie w takiej formie, w jakiej uzyskał do nich dostęp, chyba że Strony uzgodnią inaczej lub zmiana jest przewidziana przepisami prawa;</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nie powielać Informacji w zakresie szerszym, niż jest to potrzebne dla realizacji Umowy;</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zabezpieczać Informacje w stopniu niezbędnym do zachowania ich poufnego charakteru, a przynajmniej w takim samym stopniu, jak postępuje wobec własnej tajemnicy przedsiębiorstwa;</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przestrzegać wytycznych Zamawiającego o ochronie Informacji, w tym Polityki bezpieczeństwa informacji Ministerstwa Sprawiedliwości oraz Polityki bezpieczeństwa systemów teleinformatycznych Ministerstwa Sprawiedliwości.</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W zakresie niezbędnym do realizacji Umowy, Wykonawca może udostępniać Informacje swojemu personelowi, podwykonawcom oraz doradcom prawnym z tym zastrzeżeniem, że przetwarzanie Informacji przez takie osoby i podmioty nie może wykraczać poza zakres, w którym Wykonawca może je przetwarzać. Wykonawca zobowiązany jest: </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zapewnić kontrolę nad tym, jakie Informacje, kiedy, przez kogo oraz komu są przekazywane;</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zapewnić, aby te osoby i podmioty zachowywały w poufności informacje oraz sposoby ich zabezpieczeń, przestrzegając przy tym zasad i warunków wynikających z ust. 3.</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odpowiedzialny jest za naruszenia spowodowane przez te osoby i podmioty jak za własne działania i zaniechania.</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Przed uzyskaniem przez osoby, o której mowa w ust. 4 dostępu do Informacji, Wykonawca zobowiązany jest przekazać Zamawiającemu podpisane przez daną osobę oświadczenie o zachowaniu poufności Informacji, którego wzór stanowi </w:t>
      </w:r>
      <w:r>
        <w:rPr>
          <w:rFonts w:cs="Calibri" w:cstheme="minorHAnsi"/>
          <w:u w:val="single"/>
          <w:lang w:eastAsia="ar-SA"/>
        </w:rPr>
        <w:t>Załącznik nr 5</w:t>
      </w:r>
      <w:r>
        <w:rPr>
          <w:rFonts w:cs="Calibri" w:cstheme="minorHAnsi"/>
          <w:lang w:eastAsia="ar-SA"/>
        </w:rPr>
        <w:t xml:space="preserve"> do Umowy.</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Na wniosek Zamawiającego złożony w formie pisemnej lub w formie elektronicznej, Wykonawca niezwłocznie zniszczy dokumenty lub materiały zawierające Informacje.</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Z chwilą rozwiązania lub wygaśnięcia Umowy, Wykonawca:</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zwróci Zamawiającemu wszelkie dokumenty i materiały zawierające Informacje posiadane przez Wykonawcę lub osoby i podmioty, o którym mowa w ust. 4;</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Informacje przetwarzane w postaci elektronicznej usunie ze swoich zasobów i nośników oraz zapewni, że osoby i podmioty, o których mowa w ust. 4 usuną je ze swoich zasobów i nośników.</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zobowiązany jest do natychmiastowego powiadamiania o każdym nieuprawnionym ujawnieniu lub udostępnieniu Informacji oraz o innym naruszeniu bezpieczeństwa Informacji, a następnie raportowania Zamawiającemu o podejmowanych działaniach naprawczych:</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telefonicznie, na numer telefonu [●];</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pocztą elektroniczną, na adres e-mail [●];</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poprzez wykorzystywany przez Zamawiającego system zgłoszeniowy.</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Powiadomienie dokonane telefonicznie musi zostać potwierdzone poprzez jeden ze sposobów wskazanych w pkt 2-3 w terminie jednej godziny od dokonania powiadomienia.</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Strony zobowiązują się zawrzeć umowę o powierzenie przetwarzania danych osobowych, których administratorem jest Zamawiający lub które zostały powierzone Zamawiającemu do przetwarzania, o treści zasadniczo zgodnej ze wzorem stanowiącym </w:t>
      </w:r>
      <w:r>
        <w:rPr>
          <w:rFonts w:cs="Calibri" w:cstheme="minorHAnsi"/>
          <w:u w:val="single"/>
          <w:lang w:eastAsia="ar-SA"/>
        </w:rPr>
        <w:t>Załącznik nr 6</w:t>
      </w:r>
      <w:r>
        <w:rPr>
          <w:rFonts w:cs="Calibri" w:cstheme="minorHAnsi"/>
          <w:lang w:eastAsia="ar-SA"/>
        </w:rPr>
        <w:t xml:space="preserve"> do Umowy. Ponadto Wykonawca, w terminie 7 dni od dnia zawarcia Umowy przekaże Zamawiającemu imienną listę osób skierowanych przez Wykonawcę do świadczenia usług stanowiących przedmiot Umowy, przy których może być wymagane przetwarzanie danych osobowych powierzonych przez Zamawiającego. Lista powinna zawierać dane niezbędne do jednoznacznej identyfikacji każdej z tych osób oraz określać dla każdej z tych osób zakres czynności powierzanych przez Wykonawcę w ramach realizacji Umowy.</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oświadcza, że zapoznał się z Informacją o przetwarzaniu danych osobowych udostępnioną na stronie internetowej pod adresem</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https://www.gov.pl/web/sprawiedliwosc/informacja-o-przetwarzaniu-danych-osobowych</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oraz zobowiązuje się zapoznać z nią swoich pracowników i inne osoby, którymi posługuje się przy realizacji Umowy, a których dane osobowe mają być przetwarzane przez Zamawiającego jako administratora danych osobowych.</w:t>
      </w:r>
    </w:p>
    <w:p>
      <w:pPr>
        <w:pStyle w:val="Normal"/>
        <w:spacing w:lineRule="auto" w:line="259" w:before="60" w:after="60"/>
        <w:jc w:val="center"/>
        <w:rPr>
          <w:rFonts w:cs="Calibri" w:cstheme="minorHAnsi"/>
          <w:b/>
        </w:rPr>
      </w:pPr>
      <w:r>
        <w:rPr>
          <w:rFonts w:cs="Calibri" w:cstheme="minorHAnsi"/>
          <w:b/>
        </w:rPr>
        <w:t>§ 11</w:t>
      </w:r>
    </w:p>
    <w:p>
      <w:pPr>
        <w:pStyle w:val="Normal"/>
        <w:widowControl w:val="false"/>
        <w:suppressAutoHyphens w:val="true"/>
        <w:overflowPunct w:val="true"/>
        <w:ind w:left="360" w:right="-2"/>
        <w:jc w:val="center"/>
        <w:textAlignment w:val="baseline"/>
        <w:rPr>
          <w:rFonts w:ascii="Arial" w:hAnsi="Arial" w:eastAsia="Calibri" w:cs="Arial"/>
          <w:bCs/>
          <w:color w:val="000000"/>
          <w:kern w:val="2"/>
          <w:sz w:val="20"/>
          <w:szCs w:val="20"/>
        </w:rPr>
      </w:pPr>
      <w:r>
        <w:rPr>
          <w:rFonts w:eastAsia="Calibri" w:cs="Arial" w:ascii="Arial" w:hAnsi="Arial"/>
          <w:b/>
          <w:bCs/>
          <w:color w:val="000000"/>
          <w:kern w:val="2"/>
          <w:sz w:val="20"/>
          <w:szCs w:val="20"/>
        </w:rPr>
        <w:t>(celowo pominięto)</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12</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Podwykonawstwo</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uprawniony jest do powierzenia podwykonawcom wykonania części przedmiotu Umowy, z zastrzeżeniem przepisów ustawy PZP i poniższych postanowień.</w:t>
      </w:r>
    </w:p>
    <w:p>
      <w:pPr>
        <w:pStyle w:val="ListParagraph"/>
        <w:numPr>
          <w:ilvl w:val="0"/>
          <w:numId w:val="8"/>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celu wykazania spełniania warunków udziału w postępowaniu o udzielenie zamówienia publicznego, w wyniku którego zawarta została Umowa, Wykonawca powołał się na zasoby następujących podwykonawców:</w:t>
      </w:r>
    </w:p>
    <w:p>
      <w:pPr>
        <w:pStyle w:val="ListParagraph"/>
        <w:numPr>
          <w:ilvl w:val="2"/>
          <w:numId w:val="8"/>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[firma, siedziba, adres, dane kontaktowe przedstawicieli podwykonawcy] – w zakresie [wskazać zakres];</w:t>
      </w:r>
    </w:p>
    <w:p>
      <w:pPr>
        <w:pStyle w:val="ListParagraph"/>
        <w:numPr>
          <w:ilvl w:val="0"/>
          <w:numId w:val="8"/>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Niezależnie od podwykonawców, na których zasoby Wykonawca powołał się w celu wykazania spełniania warunków udziału w postępowaniu o udzielenie zamówienia publicznego, w wyniku którego zawarta została Umowa, Wykonawca zamierza posłużyć się podwykonawcami:</w:t>
      </w:r>
    </w:p>
    <w:p>
      <w:pPr>
        <w:pStyle w:val="ListParagraph"/>
        <w:numPr>
          <w:ilvl w:val="2"/>
          <w:numId w:val="8"/>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[firma, siedziba, adres, dane kontaktowe przedstawicieli podwykonawcy] – w zakresie [wskazać zakres];</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zobowiązany jest do poinformowania Zamawiającego o każdej zmianie danych podwykonawcy nie później niż w dniu następującym po nastaniu zmiany. Zmiana tych danych nie wymaga zawarcia aneksu do Umowy, lecz wystarcza zawiadomienie w formie pisemnej albo w formie elektronicznej.</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O zamiarze powierzenia wykonania czynności podwykonawcy niewskazanemu w ust. 2, Wykonawca zobowiązany jest zawiadomić Zamawiającego z co najmniej dwutygodniowym wyprzedzeniem, w celu umożliwienia zawarcia przez Strony stosownego aneksu do Umowy.</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Wykonawca dokonuje zmiany podwykonawcy, na zasoby którego powoływał się w toku postępowania poprzedzającego zawarcie Umowy, zobowiązany jest do wykazania Zamawiającemu, że proponowany podwykonawca spełnia warunki udziału w postępowaniu w stopniu nie mniejszym, niż dotychczasowy podwykonawca. Zamawiający jest uprawniony do odmowy współdziałania z podwykonawcą, co do którego Wykonawca nie wykazał spełnienia warunków, do czasu wykazania przez Wykonawcę ich spełnienia.</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mniejszym niż podwykonawca, z którego Wykonawca rezygnuje. Zamawiający jest uprawniony do odmowy współdziałania z Wykonawcą, do czasu wykazania przez Wykonawcę ich spełnienia lub wskazania innego podwykonawcy i wykazania spełnienia przez niego tych warunków.</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Realizacja przedmiotu Umowy przy udziale podwykonawców nie zwalnia Wykonawcy z odpowiedzialności za należyte i terminowe wypełnianie zobowiązań umownych. Za działania i zaniechania podwykonawcy, Wykonawca odpowiada jak za swoje własne.</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Postanowienia ust. 8 powyżej stosuje się odpowiednio do innych osób, którymi Wykonawca posługuje się przy wykonywaniu przedmiotu Umowy.</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Powierzenie wykonania całości lub części przedmiotu Umowy osobie, która w zakresie swej działalności zawodowej trudni się wykonywaniem takich czynności nie zwalnia Wykonawcy od odpowiedzialności za szkodę wyrządzoną przez taką osobę.</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13</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Siła wyższa</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Żadna ze Stron nie będzie odpowiedzialna względem drugiej za zobowiązania określone w niniejszej Umowie, w zakresie w jakim ich wykonanie okaże się niemożliwe z uwagi na działanie siły wyższej tj. przyczynę wyłączną, zewnętrzną, nadzwyczajną, gwałtowną, nieprzewidywalną i nieuchronną, taką jak w szczególności wojna, wojna domowa, zamieszki, rozruchy, akty sabotażu, katastrofy naturalne, takie jak silne burze, huragany, trzęsienia ziemi, powodzie, zniszczenia spowodowane przez piorun, wybuch, pożar, bojkot, strajk, lock-out wszelkiego rodzaju, okupowanie pomieszczeń.</w:t>
      </w:r>
    </w:p>
    <w:p>
      <w:pPr>
        <w:pStyle w:val="Normal"/>
        <w:spacing w:lineRule="auto" w:line="259" w:before="60" w:after="60"/>
        <w:ind w:left="360"/>
        <w:jc w:val="both"/>
        <w:rPr>
          <w:rFonts w:eastAsia="Times New Roman" w:cs="Calibri" w:cstheme="minorHAnsi"/>
          <w:lang w:eastAsia="pl-PL"/>
        </w:rPr>
      </w:pPr>
      <w:r>
        <w:rPr>
          <w:rFonts w:eastAsia="Times New Roman" w:cs="Calibri" w:cstheme="minorHAnsi"/>
          <w:lang w:eastAsia="pl-PL"/>
        </w:rPr>
        <w:t>Konsekwentnie, Wykonawca nie ponosi odpowiedzialności za szkody spowodowane brakiem transmisji, nieprawidłową transmisją, opóźnieniem lub przerwą w transmisji, o ile udowodni, że przyczyną braku transmisji, nieprawidłowej transmisji, opóźnienia lub przerwy w transmisji było działanie siły wyższej, bez uszczerbku dla ust. 2-4.</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Zastrzega się, że wystąpienie zdarzenia o charakterze siły wyższej nie wyłącza odpowiedzialności Strony w zakresie, w jakim działanie z najwyższą starannością zapobiegłoby jego skutkom.</w:t>
      </w:r>
    </w:p>
    <w:p>
      <w:pPr>
        <w:pStyle w:val="ListParagraph"/>
        <w:numPr>
          <w:ilvl w:val="0"/>
          <w:numId w:val="9"/>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razie wystąpienia zdarzenia o charakterze siły wyższej, która ma lub może mieć wpływ na terminowe lub należyte wykonywanie zobowiązań, Strona, która powzięła wiedzę o takim zdarzeniu, niezwłocznie (z tym, że nie później niż w następnym dniu po dniu, w którym uzyskała możliwość skontaktować się z drugą Stroną), poinformuje o tym drugą Stronę, w miarę możliwości przedstawiając stosowną dokumentację w tym zakresie.</w:t>
      </w:r>
      <w:r>
        <w:rPr>
          <w:rFonts w:cs="Calibri" w:cstheme="minorHAnsi"/>
        </w:rPr>
        <w:t xml:space="preserve"> </w:t>
      </w:r>
      <w:r>
        <w:rPr>
          <w:rFonts w:eastAsia="Times New Roman" w:cs="Calibri" w:cstheme="minorHAnsi"/>
          <w:lang w:eastAsia="pl-PL"/>
        </w:rPr>
        <w:t>Strony, o ile to będzie możliwe, uzgodnią sposób postępowania wobec tego zdarzenia oraz terminy wykonywania Umowy.</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 ustąpieniu działania siły wyższej, Strona zobowiązana jest przystąpić do dalszego wykonywania swoich zobowiązań niezwłocznie, z tym że nie później niż w następnym dniu po dniu, w którym miała na powrót możliwość działania.</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zdarzenie o charakterze siły wyższej powoduje konieczność wprowadzenia zmian Umowy, Strony podejmą w dobrej wierze negocjacje w celu zmiany Umowy.</w:t>
      </w:r>
    </w:p>
    <w:p>
      <w:pPr>
        <w:pStyle w:val="Normal"/>
        <w:spacing w:lineRule="auto" w:line="259" w:before="60" w:after="60"/>
        <w:jc w:val="center"/>
        <w:rPr>
          <w:rFonts w:cs="Calibri" w:cstheme="minorHAnsi"/>
          <w:b/>
        </w:rPr>
      </w:pPr>
      <w:r>
        <w:rPr>
          <w:rFonts w:cs="Calibri" w:cstheme="minorHAnsi"/>
          <w:b/>
        </w:rPr>
        <w:t>§ 14</w:t>
      </w:r>
    </w:p>
    <w:p>
      <w:pPr>
        <w:pStyle w:val="Normal"/>
        <w:spacing w:lineRule="auto" w:line="259" w:before="60" w:after="60"/>
        <w:jc w:val="center"/>
        <w:rPr>
          <w:rFonts w:cs="Calibri" w:cstheme="minorHAnsi"/>
          <w:b/>
        </w:rPr>
      </w:pPr>
      <w:r>
        <w:rPr>
          <w:rFonts w:cs="Calibri" w:cstheme="minorHAnsi"/>
          <w:b/>
        </w:rPr>
        <w:t>Zmiany Umowy</w:t>
      </w:r>
    </w:p>
    <w:p>
      <w:pPr>
        <w:pStyle w:val="Normal"/>
        <w:numPr>
          <w:ilvl w:val="0"/>
          <w:numId w:val="37"/>
        </w:numPr>
        <w:tabs>
          <w:tab w:val="clear" w:pos="709"/>
        </w:tabs>
        <w:spacing w:lineRule="auto" w:line="259" w:before="60" w:after="60"/>
        <w:jc w:val="both"/>
        <w:rPr>
          <w:rFonts w:cs="Calibri" w:cstheme="minorHAnsi"/>
        </w:rPr>
      </w:pPr>
      <w:r>
        <w:rPr>
          <w:rFonts w:cs="Calibri" w:cstheme="minorHAnsi"/>
        </w:rPr>
        <w:t xml:space="preserve">Strony </w:t>
      </w:r>
      <w:r>
        <w:rPr>
          <w:rFonts w:eastAsia="Times New Roman" w:cs="Calibri" w:cstheme="minorHAnsi"/>
          <w:lang w:eastAsia="pl-PL"/>
        </w:rPr>
        <w:t>zastrzegają</w:t>
      </w:r>
      <w:r>
        <w:rPr>
          <w:rFonts w:cs="Calibri" w:cstheme="minorHAnsi"/>
        </w:rPr>
        <w:t xml:space="preserve"> możliwość zmiany Umowy w zakresie:</w:t>
      </w:r>
    </w:p>
    <w:p>
      <w:pPr>
        <w:pStyle w:val="Normal"/>
        <w:numPr>
          <w:ilvl w:val="1"/>
          <w:numId w:val="12"/>
        </w:numPr>
        <w:spacing w:lineRule="auto" w:line="259" w:before="60" w:after="60"/>
        <w:jc w:val="both"/>
        <w:rPr>
          <w:rFonts w:eastAsia="Times New Roman" w:cs="Calibri" w:cstheme="minorHAnsi"/>
          <w:lang w:eastAsia="pl-PL"/>
        </w:rPr>
      </w:pPr>
      <w:r>
        <w:rPr>
          <w:rFonts w:cs="Calibri" w:cstheme="minorHAnsi"/>
          <w:bCs/>
        </w:rPr>
        <w:t xml:space="preserve">zmniejszenia zakresu realizacji przedmiotu Umowy oraz odpowiedniego zmniejszenia wynagrodzenia należnego Wykonawcy, w przypadku wystąpienia </w:t>
      </w:r>
      <w:r>
        <w:rPr>
          <w:rFonts w:cs="Calibri" w:cstheme="minorHAnsi"/>
        </w:rPr>
        <w:t>zmiany okoliczności powodującej, że wykonanie części Umowy nie leży w interesie publicznym, czego nie można było przewidzieć w chwili jej zawarcia, lub dalsze wykonywanie części Umowy może zagrozić podstawowemu interesowi bezpieczeństwa państwa lub bezpieczeństwu publicznemu;</w:t>
      </w:r>
    </w:p>
    <w:p>
      <w:pPr>
        <w:pStyle w:val="Normal"/>
        <w:numPr>
          <w:ilvl w:val="1"/>
          <w:numId w:val="12"/>
        </w:numPr>
        <w:spacing w:lineRule="auto" w:line="259" w:before="60" w:after="60"/>
        <w:jc w:val="both"/>
        <w:rPr>
          <w:rFonts w:eastAsia="Times New Roman" w:cs="Calibri" w:cstheme="minorHAnsi"/>
          <w:lang w:eastAsia="pl-PL"/>
        </w:rPr>
      </w:pPr>
      <w:r>
        <w:rPr>
          <w:rFonts w:eastAsia="Times New Roman" w:cs="Calibri" w:cstheme="minorHAnsi"/>
          <w:lang w:eastAsia="pl-PL"/>
        </w:rPr>
        <w:t>parametrów technicznych świadczenia Usługi dla dostosowania do nowych technologii i rozwiązań technicznych, z zachowaniem minimalnych wymagań określonych w Umowie;</w:t>
      </w:r>
    </w:p>
    <w:p>
      <w:pPr>
        <w:pStyle w:val="Normal"/>
        <w:numPr>
          <w:ilvl w:val="1"/>
          <w:numId w:val="12"/>
        </w:numPr>
        <w:spacing w:lineRule="auto" w:line="259" w:before="60" w:after="60"/>
        <w:jc w:val="both"/>
        <w:rPr>
          <w:rFonts w:cs="Calibri" w:cstheme="minorHAnsi"/>
          <w:bCs/>
        </w:rPr>
      </w:pPr>
      <w:r>
        <w:rPr>
          <w:rFonts w:cs="Calibri" w:cstheme="minorHAnsi"/>
          <w:bCs/>
        </w:rPr>
        <w:t>terminu, zakresu lub sposobu realizacji przedmiotu Umowy dla dostosowania do zmiany stanu faktycznego na skutek zdarzenia o charakterze siły wyższej, które nastąpiło po wszczęciu postępowania o udzielenie zamówienia publicznego, a wpływa na termin, zakres lub sposób realizacji przedmiotu Umowy;</w:t>
      </w:r>
    </w:p>
    <w:p>
      <w:pPr>
        <w:pStyle w:val="Normal"/>
        <w:numPr>
          <w:ilvl w:val="1"/>
          <w:numId w:val="12"/>
        </w:numPr>
        <w:spacing w:lineRule="auto" w:line="259" w:before="60" w:after="60"/>
        <w:jc w:val="both"/>
        <w:rPr>
          <w:rFonts w:cs="Calibri" w:cstheme="minorHAnsi"/>
          <w:bCs/>
        </w:rPr>
      </w:pPr>
      <w:r>
        <w:rPr>
          <w:rFonts w:cs="Calibri" w:cstheme="minorHAnsi"/>
          <w:bCs/>
        </w:rPr>
        <w:t>terminu, zakresu lub sposobu realizacji przedmiotu Umowy dla dostosowania do zmiany stanu prawnego, która nastąpiła po wszczęciu postępowania o udzielenie zamówienia publicznego, a wpływa na termin, zakres lub sposób realizacji przedmiotu Umowy;</w:t>
      </w:r>
    </w:p>
    <w:p>
      <w:pPr>
        <w:pStyle w:val="Normal"/>
        <w:numPr>
          <w:ilvl w:val="1"/>
          <w:numId w:val="12"/>
        </w:numPr>
        <w:spacing w:lineRule="auto" w:line="259" w:before="60" w:after="60"/>
        <w:jc w:val="both"/>
        <w:rPr>
          <w:rFonts w:cs="Calibri" w:cstheme="minorHAnsi"/>
          <w:bCs/>
        </w:rPr>
      </w:pPr>
      <w:r>
        <w:rPr>
          <w:rFonts w:cs="Calibri" w:cstheme="minorHAnsi"/>
          <w:bCs/>
        </w:rPr>
        <w:t>zakresu lub sposobu realizacji przedmiotu Umowy dla dostosowania do zmian struktury lub organizacji po stronie Zamawiającego;</w:t>
      </w:r>
    </w:p>
    <w:p>
      <w:pPr>
        <w:pStyle w:val="Normal"/>
        <w:numPr>
          <w:ilvl w:val="1"/>
          <w:numId w:val="12"/>
        </w:numPr>
        <w:spacing w:lineRule="auto" w:line="259" w:before="60" w:after="60"/>
        <w:jc w:val="both"/>
        <w:rPr>
          <w:rFonts w:cs="Calibri" w:cstheme="minorHAnsi"/>
          <w:bCs/>
        </w:rPr>
      </w:pPr>
      <w:r>
        <w:rPr>
          <w:rFonts w:cs="Calibri" w:cstheme="minorHAnsi"/>
          <w:bCs/>
        </w:rPr>
        <w:t>zmiany zasad zgłaszania, obsługi i eskalacji zgłoszeń w ramach serwisu;</w:t>
      </w:r>
    </w:p>
    <w:p>
      <w:pPr>
        <w:pStyle w:val="Normal"/>
        <w:numPr>
          <w:ilvl w:val="1"/>
          <w:numId w:val="12"/>
        </w:numPr>
        <w:spacing w:lineRule="auto" w:line="259" w:before="60" w:after="60"/>
        <w:jc w:val="both"/>
        <w:rPr>
          <w:rFonts w:cs="Calibri" w:cstheme="minorHAnsi"/>
          <w:bCs/>
        </w:rPr>
      </w:pPr>
      <w:r>
        <w:rPr>
          <w:rFonts w:cs="Calibri" w:cstheme="minorHAnsi"/>
          <w:bCs/>
        </w:rPr>
        <w:t>postanowień, które w toku realizacji Umowy z uwagi na okoliczności niezależne od Stron okazały się nieważne lub niewykonalne, w celu ich zastąpienia innymi możliwie najlepiej oddającym pierwotne intencje Stron;</w:t>
      </w:r>
    </w:p>
    <w:p>
      <w:pPr>
        <w:pStyle w:val="Normal"/>
        <w:numPr>
          <w:ilvl w:val="1"/>
          <w:numId w:val="12"/>
        </w:numPr>
        <w:spacing w:lineRule="auto" w:line="259" w:before="60" w:after="60"/>
        <w:jc w:val="both"/>
        <w:rPr>
          <w:rFonts w:cs="Calibri" w:cstheme="minorHAnsi"/>
          <w:bCs/>
        </w:rPr>
      </w:pPr>
      <w:r>
        <w:rPr>
          <w:rFonts w:cs="Calibri" w:cstheme="minorHAnsi"/>
          <w:bCs/>
        </w:rPr>
        <w:t>oczywistych omyłek pisarskich i rachunkowych;</w:t>
      </w:r>
    </w:p>
    <w:p>
      <w:pPr>
        <w:pStyle w:val="Normal"/>
        <w:numPr>
          <w:ilvl w:val="1"/>
          <w:numId w:val="12"/>
        </w:numPr>
        <w:spacing w:lineRule="auto" w:line="259" w:before="60" w:after="60"/>
        <w:jc w:val="both"/>
        <w:rPr>
          <w:rFonts w:cs="Calibri" w:cstheme="minorHAnsi"/>
          <w:bCs/>
        </w:rPr>
      </w:pPr>
      <w:r>
        <w:rPr>
          <w:rFonts w:cs="Calibri" w:cstheme="minorHAnsi"/>
          <w:bCs/>
        </w:rPr>
        <w:t>innych postanowień, wprost wskazanych w Umowie jako podlegające zmianie.</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(zanim wynagrodzenie umowne stało się wymagalne):</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stawki podatku od towarów i usług oraz podatku akcyzowego,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wysokości minimalnego wynagrodzenia za pracę albo wysokości minimalnej stawki godzinowej, ustalonych na podstawie ustawy z dnia 10 października 2002 r. o minimalnym wynagrodzeniu za pracę,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zasad podlegania ubezpieczeniom społecznym lub ubezpieczeniu zdrowotnemu lub wysokości stawki składki na ubezpieczenia społeczne lub ubezpieczenie zdrowotne,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zasad gromadzenia i wysokości wpłat do pracowniczych planów kapitałowych, o których mowa w ustawie z dnia 4 października 2018 r. o pracowniczych planach kapitałowych,</w:t>
      </w:r>
    </w:p>
    <w:p>
      <w:pPr>
        <w:pStyle w:val="Normal"/>
        <w:spacing w:lineRule="auto" w:line="259" w:before="60" w:after="60"/>
        <w:ind w:left="357"/>
        <w:jc w:val="both"/>
        <w:rPr>
          <w:rFonts w:cs="Calibri" w:cstheme="minorHAnsi"/>
        </w:rPr>
      </w:pPr>
      <w:r>
        <w:rPr>
          <w:rFonts w:cs="Calibri" w:cstheme="minorHAnsi"/>
        </w:rPr>
        <w:t>każda ze Stron może wnosić o odpowiednio podwyższenie bądź obniżenie wynagrodzenia należnego Wykonawcy. W takim przypadku, stawka wynagrodzenia zostanie zmieniona stosownie do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 przypadku, o którym mowa w ust. 2, Zamawiający może żądać od Wykonawcy wyjaśnień oraz przedłożenia dokumentów (oryginałów do wglądu lub kopii potwierdzonych za zgodność z oryginałem) niezbędnych do ustalenia </w:t>
      </w:r>
      <w:r>
        <w:rPr>
          <w:rFonts w:cs="Calibri" w:cstheme="minorHAnsi"/>
        </w:rPr>
        <w:t>wpływu określonej zmiany na koszty wykonania zamówienia przez Wykonawcę</w:t>
      </w:r>
      <w:r>
        <w:rPr>
          <w:rFonts w:eastAsia="Times New Roman" w:cs="Calibri" w:cstheme="minorHAnsi"/>
          <w:lang w:eastAsia="pl-PL"/>
        </w:rPr>
        <w:t>, odnoszących się w szczególności do:</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wymiaru czasu pracy / świadczenia usług osób zaangażowanych w realizację Umowy;</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wynagrodzenia pracowników / innych osób, którymi Wykonawca posługuje się przy wykonywaniu przedmiotu Umowy, przypadającego na prace / czynności / usługi związane z poszczególnymi elementami przedmiotu zamówienia;</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stopnia w jakimi wymiar zaangażowanie i wypłacone z tego tytułu wynagrodzenie, o których mowa w pkt 1 i 2, przykłada się na cenę w ofercie Wykonawcy.</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Strony przyjmują, że niezłożenie wyjaśnień lub nieprzedłożenie dokumentów, o których mowa w ust. 3, równoznaczne jest ze zrzeczeniem się przez Wykonawcę uprawnienia do żądania zmiany wynagrodzenia na podstawie ust. 2.</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ceny materiałów lub kosztów związanych z realizacją zamówienia (zanim wynagrodzenie umowne stało się wymagalne), każda ze Stron może wnosić o odpowiednio podwyższenie bądź obniżenie wynagrodzenia należnego Wykonawcy z tytułu realizacji zamówienia. W takim przypadku, stawka wynagrodzenia za realizację zamówienia zostanie zwaloryzowana w oparciu o Półroczny wskaźnik cen towarów i usług konsumpcyjnych obwieszczany przez Prezesa Głównego Urzędu Statystycznego. Wynagrodzenie zostanie zwaloryzowane, o ile Półroczny wskaźnik cen towarów i usług konsumpcyjnych obwieszczany przez Prezesa Głównego Urzędu Statystycznego wyniósł co najmniej 100,5 (okres poprzedni = 100), przy czym po raz pierwszy nie wcześniej niż w półroczu następującym po 6 (sześciu) miesiącach od upływu terminu do składania ofert (tj. wskaźnikiem obliczonym dla półrocza, w którym upłynął termin do składania ofert).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o którym mowa w ust. 5, wpływ zmiany ceny materiałów lub kosztów na koszty wykonania zamówienia przez Wykonawcę zostanie określony na podstawie zestawień, oświadczeń lub innych dokumentów potwierdzających zmiany ceny materiałów lub kosztów związanych z realizacją zamówienia. W szczególności, Zamawiający może żądać od Wykonawcy przedłożenia umów z kontrahentami oraz dokumentów księgowych, z których wynika wpływ zmiany ceny materiałów lub kosztów na koszty wykonania zamówienia przez Wykonawcę. Postanowienia ust. 3-4 stosuje się odpowiednio.</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wynagrodzenia zgodnie z ust. 5, Wykonawca zobowiązany jest do zmiany wynagrodzenia przysługującego podwykonawcy, z którym zawarł umowę, w zakresie odpowiadającym zmianom cen materiałów lub kosztów dotyczących zobowiązania podwykonawcy.</w:t>
      </w:r>
    </w:p>
    <w:p>
      <w:pPr>
        <w:pStyle w:val="Normal"/>
        <w:numPr>
          <w:ilvl w:val="0"/>
          <w:numId w:val="37"/>
        </w:numPr>
        <w:tabs>
          <w:tab w:val="clear" w:pos="709"/>
        </w:tabs>
        <w:spacing w:lineRule="auto" w:line="259" w:before="60" w:after="60"/>
        <w:jc w:val="both"/>
        <w:rPr>
          <w:rFonts w:cs="Calibri" w:cstheme="minorHAnsi"/>
        </w:rPr>
      </w:pPr>
      <w:r>
        <w:rPr>
          <w:rFonts w:eastAsia="Times New Roman" w:cs="Calibri" w:cstheme="minorHAnsi"/>
          <w:lang w:eastAsia="pl-PL"/>
        </w:rPr>
        <w:t>Maksymalne wynagrodzenie Wykonawcy z tytułu realizacji zamówienia na skutek waloryzacji, o której mowa w ust. 5 nie może przekroczyć 130% kwoty wskazanej w § 6 ust. 1.</w:t>
      </w:r>
    </w:p>
    <w:p>
      <w:pPr>
        <w:pStyle w:val="Normal"/>
        <w:spacing w:lineRule="auto" w:line="259" w:before="60" w:after="60"/>
        <w:jc w:val="center"/>
        <w:rPr>
          <w:rFonts w:cs="Calibri" w:cstheme="minorHAnsi"/>
          <w:b/>
        </w:rPr>
      </w:pPr>
      <w:r>
        <w:rPr>
          <w:rFonts w:cs="Calibri" w:cstheme="minorHAnsi"/>
          <w:b/>
        </w:rPr>
        <w:t>§ 15</w:t>
      </w:r>
    </w:p>
    <w:p>
      <w:pPr>
        <w:pStyle w:val="Normal"/>
        <w:spacing w:lineRule="auto" w:line="259" w:before="60" w:after="60"/>
        <w:jc w:val="center"/>
        <w:rPr>
          <w:rFonts w:cs="Calibri" w:cstheme="minorHAnsi"/>
          <w:b/>
        </w:rPr>
      </w:pPr>
      <w:r>
        <w:rPr>
          <w:rFonts w:cs="Calibri" w:cstheme="minorHAnsi"/>
          <w:b/>
          <w:bCs/>
        </w:rPr>
        <w:t>Odstąpienie od Umowy i wypowiedzenie Umowy</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Zamawiającemu przysługuje uprawnienie do odstąpienie od Umowy, gdy:</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zaistniała istotna zmiana okoliczności powodująca, że jej wykonanie nie leży w interesie publicznym, czego nie można było przewidzieć w chwili jej zawarcia, lub dalsze wykonywanie Umowy może zagrozić podstawowemu interesowi bezpieczeństwa państwa lub bezpieczeństwu publicznemu;</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utracił zdolność do czynności prawnych, stał się niewypłacalny, został postawiony w stan likwidacji lub spełnia warunki do wykreślenia z rejestru/ewidencji z urzędu;</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uprawnienie takie wynika z Kodeksu cywilnego lub innych przepisów prawa;</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nie dotrzymał terminu uruchomienia Usługi wynikającego z § 2 ust. 1, z powodu okoliczności za które odpowiada Wykonawca;</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bezzasadnie odmówił zawarcia umowy o powierzenie przetwarzania danych osobowych.</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Przed odstąpieniem od Umowy na podstawie ust. 1 pkt 4-5, Zamawiający udzieli Wykonawcy dodatkowego terminu co najmniej 7 dni na wykonanie danego zobowiązania, wskazując na rygor odstąpienia od Umowy.</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Termin na odstąpienie od Umowy wynosi:</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30 dni od dnia powzięcia wiadomości o zaistnieniu przesłanki, o której mowa w ust. 1 pkt 1;</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60 dni od powzięcia przez Zamawiającego wiadomości o zaistnieniu przesłanki, o której mowa w ust. 1 pkt 2;</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60 dni od bezskutecznego upływu dodatkowego terminu, o którym mowa w ust. 2.</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odstąpieniu Zamawiający wskaże, czy odstąpienie następuje w całości czy w części oraz czy wywołuje skutki jedynie na przyszłość.</w:t>
      </w:r>
    </w:p>
    <w:p>
      <w:pPr>
        <w:pStyle w:val="Normal"/>
        <w:numPr>
          <w:ilvl w:val="0"/>
          <w:numId w:val="19"/>
        </w:numPr>
        <w:tabs>
          <w:tab w:val="clear" w:pos="709"/>
        </w:tabs>
        <w:spacing w:lineRule="auto" w:line="259" w:before="60" w:after="60"/>
        <w:jc w:val="both"/>
        <w:rPr/>
      </w:pPr>
      <w:r>
        <w:rPr/>
        <w:t>Zamawiający może wypowiedzieć Umowę ze skutkiem natychmiastowym z przyczyn leżących po stronie Wykonawcy, gdy:</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Wykonawca nienależycie wykonuje Umowę, w szczególności nie stosuje się do zasadnych uwag Zamawiającego lub narusza inne postanowienia Umowy i w przypadku, gdy po upływie 7 dni od wezwania przez Zamawiającego do zaniechania przez Wykonawcę naruszeń postanowień Umowy i usunięcia ewentualnych skutków naruszeń, Wykonawca nie zastosuje się do tego wezwania;</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 którymkolwiek okresie rozliczeniowym wystąpiło co najmniej pięciu (5) Awarii, z wyłączeniem Awarii przypadających w okresie niewliczanym do CN, stosownie do § 9 ust. 11;</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 którymkolwiek okresie rozliczeniowym wystąpiła przerwa w świadczeniu Usługi trwająca nieprzerwanie dłużej niż 48 godzin, nieprzypadająca w okresie przerw niewliczanych do CN, stosownie w § 9 ust. 11;</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doszło do rozwiązania umowy o powierzenie przetwarzania danych osobowych.</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przypadku wypowiedzenia, Wykonawca zachowa prawo do wynagrodzenia za Usługi wyświadczone Zamawiającemu przez okres do dnia wypowiedzenia.</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razie rozwiązania lub wygaśnięcia Umowy, Wykonawca nie później niż w terminie 14 dni od tej daty i w obecności przedstawicieli Zamawiającego sporządzi i przekaże Zamawiającemu sprawozdanie, które będzie zawierało opis czynności wykonanych do odpowiednio dnia rozwiązania lub wygaśnięcia Umowy, wraz z dokonaniem ich oceny pod względem możliwości ich zaakceptowania i odbioru przez Zamawiającego. W razie nieprzedłożenia przez Wykonawcę sprawozdania, Zamawiający powoła komisję w celu sporządzenia sprawozdania, które będzie wiążące dla Stron.</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Wygaśnięcie Umowy na skutek odstąpienia od Umowy pozostaje bez wpływu na odpowiedzialność odszkodowawczą Wykonawcy (dotyczy części, w jakiej Zamawiający od Umowy nie odstąpił) oraz do naliczenia kar umownych należnych na podstawie Umowy.</w:t>
      </w:r>
    </w:p>
    <w:p>
      <w:pPr>
        <w:pStyle w:val="Normal"/>
        <w:spacing w:lineRule="auto" w:line="259" w:before="60" w:after="60"/>
        <w:jc w:val="center"/>
        <w:rPr>
          <w:rFonts w:cs="Calibri" w:cstheme="minorHAnsi"/>
          <w:b/>
        </w:rPr>
      </w:pPr>
      <w:r>
        <w:rPr>
          <w:rFonts w:cs="Calibri" w:cstheme="minorHAnsi"/>
          <w:b/>
        </w:rPr>
        <w:t>§ 16</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Postanowienia końcowe</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Umowa wchodzi w życie (obowiązuje) z chwilą zawarcia.</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Prawo właściwe dla Umowy to prawo obowiązujące w Rzeczpospolitej Polskiej.</w:t>
      </w:r>
    </w:p>
    <w:p>
      <w:pPr>
        <w:pStyle w:val="ListParagraph"/>
        <w:numPr>
          <w:ilvl w:val="0"/>
          <w:numId w:val="5"/>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sprawach nieuregulowanych niniejszą Umową stosuje się przepisy Kodeksu cywilnego i</w:t>
      </w:r>
      <w:r>
        <w:rPr/>
        <w:t xml:space="preserve"> </w:t>
      </w:r>
      <w:r>
        <w:rPr>
          <w:rFonts w:eastAsia="Times New Roman" w:cs="Calibri" w:cstheme="minorHAnsi"/>
          <w:lang w:eastAsia="pl-PL"/>
        </w:rPr>
        <w:t>Prawa komunikacji elektronicznej.</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Wszelkie zmiany i uzupełnienia niniejszej Umowy, rozwiązanie Umowy za zgodą obu Stron, jak również odstąpienie od Umowy, wymaga zachowania formy pisemnej albo formy elektronicznej pod rygorem nieważności.</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nie może obciążyć zastawem swoich uprawnień, dokonać cesji (przelewu) przysługujących mu wierzytelności ani przenieść na osobę trzecią jakichkolwiek zobowiązań wynikających z Umowy, bez uprzedniej zgody Zamawiającego wyrażonej w formie pisemnej albo w formie elektronicznej pod rygorem nieważności.</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Z chwilą wygaśnięcia Umowy, w mocy pozostają postanowienia Umowy, które ze względu na swój charakter, cel oraz znaczenie mogą być stosowane także po jej wygaśnięciu.</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Niewykonanie przez Zamawiającego któregokolwiek z uprawnień przysługujących mu na podstawie Umowy nie może być uważane za zrzeczenie się tego uprawnienia, ani zrzeczenie się innych uprawnień wynikających z postanowień Umowy.</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Wyłącza się możliwość potrąceń wierzytelności Wykonawcy względem Zamawiającego.</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Postępowanie reklamacyjne będzie prowadzone zgodnie z przepisami Rozdziału 4 ustawy z dnia 12 lipca 2024 r. Prawo komunikacji elektronicznej.</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Spory na tle Umowy, których nie udało się Stronom rozwiązać polubownie, rozstrzygać będzie sąd powszechny właściwy miejscowo dla siedziby Zamawiającego.</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Umowę sporządzono w trzech jednobrzmiących egzemplarzach, dwa dla Zamawiającego i jeden dla Wykonawcy* / Umowa została zawarta w formie elektronicznej, tj. podpisana kwalifikowanymi podpisami elektronicznymi.**</w:t>
      </w:r>
    </w:p>
    <w:p>
      <w:pPr>
        <w:pStyle w:val="Normal"/>
        <w:numPr>
          <w:ilvl w:val="0"/>
          <w:numId w:val="5"/>
        </w:numPr>
        <w:tabs>
          <w:tab w:val="clear" w:pos="709"/>
        </w:tabs>
        <w:spacing w:lineRule="auto" w:line="259" w:before="60" w:after="60"/>
        <w:jc w:val="both"/>
        <w:rPr>
          <w:rFonts w:cs="Calibri" w:cstheme="minorHAnsi"/>
        </w:rPr>
      </w:pPr>
      <w:r>
        <w:rPr>
          <w:rFonts w:eastAsia="Times New Roman" w:cs="Calibri" w:cstheme="minorHAnsi"/>
          <w:lang w:eastAsia="pl-PL"/>
        </w:rPr>
        <w:t>Integralną</w:t>
      </w:r>
      <w:r>
        <w:rPr>
          <w:rFonts w:cs="Calibri" w:cstheme="minorHAnsi"/>
        </w:rPr>
        <w:t xml:space="preserve"> część Umowy stanowią załączniki wymienione w poniższej liście:</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bookmarkStart w:id="4" w:name="_Hlk64285245"/>
      <w:r>
        <w:rPr>
          <w:rFonts w:eastAsia="Times New Roman" w:cs="Calibri" w:cstheme="minorHAnsi"/>
          <w:lang w:eastAsia="pl-PL"/>
        </w:rPr>
        <w:t>Opis usługi ochrony przed Atakami DDoS;</w:t>
      </w:r>
      <w:bookmarkEnd w:id="4"/>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Wzory protokołów odbioru;</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Oferta Wykonawcy;</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Dane kontaktowe;</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Wzór oświadczenia o zachowaniu poufności informacji;</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Wzór umowy o powierzenie przetwarzania danych osobowych;</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Odpis z KRS/CEIDG Wykonawcy.</w:t>
      </w:r>
    </w:p>
    <w:p>
      <w:pPr>
        <w:pStyle w:val="Normal"/>
        <w:spacing w:lineRule="auto" w:line="259" w:before="60" w:after="60"/>
        <w:ind w:left="357"/>
        <w:jc w:val="both"/>
        <w:rPr>
          <w:rFonts w:eastAsia="Times New Roman" w:cs="Calibri" w:cstheme="minorHAnsi"/>
          <w:lang w:eastAsia="pl-PL"/>
        </w:rPr>
      </w:pPr>
      <w:r>
        <w:rPr>
          <w:rFonts w:eastAsia="Times New Roman" w:cs="Calibri" w:cstheme="minorHAnsi"/>
          <w:lang w:eastAsia="pl-PL"/>
        </w:rPr>
        <w:t>W przypadku sprzeczności, postanowienia Umowy mają pierwszeństwo.</w:t>
      </w:r>
    </w:p>
    <w:tbl>
      <w:tblPr>
        <w:tblStyle w:val="Tabela-Siatka"/>
        <w:tblW w:w="9062" w:type="dxa"/>
        <w:jc w:val="left"/>
        <w:tblInd w:w="108" w:type="dxa"/>
        <w:tblLayout w:type="fixed"/>
        <w:tblCellMar>
          <w:top w:w="0" w:type="dxa"/>
          <w:left w:w="108" w:type="dxa"/>
          <w:bottom w:w="0" w:type="dxa"/>
          <w:right w:w="108" w:type="dxa"/>
        </w:tblCellMar>
        <w:tblLook w:val="04a0" w:firstRow="1" w:noVBand="1" w:lastRow="0" w:firstColumn="1" w:lastColumn="0" w:noHBand="0"/>
      </w:tblPr>
      <w:tblGrid>
        <w:gridCol w:w="4531"/>
        <w:gridCol w:w="4531"/>
      </w:tblGrid>
      <w:tr>
        <w:trPr>
          <w:trHeight w:val="380" w:hRule="atLeast"/>
        </w:trPr>
        <w:tc>
          <w:tcPr>
            <w:tcW w:w="4531" w:type="dxa"/>
            <w:tcBorders>
              <w:top w:val="nil"/>
              <w:left w:val="nil"/>
              <w:bottom w:val="nil"/>
              <w:right w:val="nil"/>
            </w:tcBorders>
          </w:tcPr>
          <w:p>
            <w:pPr>
              <w:pStyle w:val="Normal"/>
              <w:widowControl/>
              <w:suppressAutoHyphens w:val="true"/>
              <w:spacing w:lineRule="auto" w:line="259" w:before="60" w:after="60"/>
              <w:jc w:val="center"/>
              <w:rPr>
                <w:rFonts w:cs="Calibri" w:cstheme="minorHAnsi"/>
                <w:b/>
                <w:bCs/>
              </w:rPr>
            </w:pPr>
            <w:r>
              <w:rPr>
                <w:rFonts w:eastAsia="Calibri" w:cs="Calibri" w:cstheme="minorHAnsi"/>
                <w:b/>
                <w:kern w:val="0"/>
                <w:sz w:val="22"/>
                <w:szCs w:val="22"/>
                <w:lang w:val="pl-PL" w:eastAsia="en-US" w:bidi="ar-SA"/>
              </w:rPr>
              <w:t>w imieniu WYKONAWCY</w:t>
            </w:r>
            <w:r>
              <w:rPr>
                <w:rFonts w:eastAsia="Calibri" w:cs="Calibri" w:cstheme="minorHAnsi"/>
                <w:kern w:val="0"/>
                <w:sz w:val="22"/>
                <w:szCs w:val="22"/>
                <w:lang w:val="pl-PL" w:eastAsia="en-US" w:bidi="ar-SA"/>
              </w:rPr>
              <w:t>:</w:t>
            </w:r>
          </w:p>
        </w:tc>
        <w:tc>
          <w:tcPr>
            <w:tcW w:w="4531" w:type="dxa"/>
            <w:tcBorders>
              <w:top w:val="nil"/>
              <w:left w:val="nil"/>
              <w:bottom w:val="nil"/>
              <w:right w:val="nil"/>
            </w:tcBorders>
          </w:tcPr>
          <w:p>
            <w:pPr>
              <w:pStyle w:val="Normal"/>
              <w:widowControl/>
              <w:suppressAutoHyphens w:val="true"/>
              <w:spacing w:lineRule="auto" w:line="259" w:before="60" w:after="60"/>
              <w:jc w:val="center"/>
              <w:rPr>
                <w:rFonts w:cs="Calibri" w:cstheme="minorHAnsi"/>
                <w:b/>
                <w:bCs/>
              </w:rPr>
            </w:pPr>
            <w:r>
              <w:rPr>
                <w:rFonts w:eastAsia="Calibri" w:cs="Calibri" w:cstheme="minorHAnsi"/>
                <w:b/>
                <w:kern w:val="0"/>
                <w:sz w:val="22"/>
                <w:szCs w:val="22"/>
                <w:lang w:val="pl-PL" w:eastAsia="en-US" w:bidi="ar-SA"/>
              </w:rPr>
              <w:t>w imieniu ZAMAWIAJĄCEGO:</w:t>
            </w:r>
          </w:p>
        </w:tc>
      </w:tr>
      <w:tr>
        <w:trPr/>
        <w:tc>
          <w:tcPr>
            <w:tcW w:w="4531" w:type="dxa"/>
            <w:tcBorders>
              <w:top w:val="nil"/>
              <w:left w:val="nil"/>
              <w:bottom w:val="nil"/>
              <w:right w:val="nil"/>
            </w:tcBorders>
          </w:tcPr>
          <w:p>
            <w:pPr>
              <w:pStyle w:val="Normal"/>
              <w:widowControl/>
              <w:suppressAutoHyphens w:val="true"/>
              <w:spacing w:lineRule="auto" w:line="259" w:before="60" w:after="60"/>
              <w:ind w:hanging="425" w:left="425"/>
              <w:jc w:val="center"/>
              <w:rPr>
                <w:rFonts w:cs="Calibri" w:cstheme="minorHAnsi"/>
              </w:rPr>
            </w:pPr>
            <w:r>
              <w:rPr>
                <w:rFonts w:cs="Calibri" w:cstheme="minorHAnsi"/>
                <w:sz w:val="22"/>
              </w:rPr>
            </w:r>
          </w:p>
          <w:p>
            <w:pPr>
              <w:pStyle w:val="Normal"/>
              <w:widowControl/>
              <w:suppressAutoHyphens w:val="true"/>
              <w:spacing w:lineRule="auto" w:line="259" w:before="60" w:after="60"/>
              <w:ind w:hanging="425" w:left="425"/>
              <w:jc w:val="center"/>
              <w:rPr>
                <w:rFonts w:cs="Calibri" w:cstheme="minorHAnsi"/>
              </w:rPr>
            </w:pPr>
            <w:r>
              <w:rPr>
                <w:rFonts w:eastAsia="Calibri" w:cs="Calibri" w:cstheme="minorHAnsi"/>
                <w:kern w:val="0"/>
                <w:sz w:val="22"/>
                <w:szCs w:val="22"/>
                <w:lang w:val="pl-PL" w:eastAsia="en-US" w:bidi="ar-SA"/>
              </w:rPr>
              <w:t>[imię i nazwisko osoby podpisującej]</w:t>
            </w:r>
          </w:p>
          <w:p>
            <w:pPr>
              <w:pStyle w:val="Normal"/>
              <w:widowControl/>
              <w:suppressAutoHyphens w:val="true"/>
              <w:spacing w:lineRule="auto" w:line="259" w:before="60" w:after="60"/>
              <w:ind w:hanging="425" w:left="425"/>
              <w:jc w:val="center"/>
              <w:rPr>
                <w:rFonts w:cs="Calibri" w:cstheme="minorHAnsi"/>
                <w:spacing w:val="-10"/>
              </w:rPr>
            </w:pPr>
            <w:r>
              <w:rPr>
                <w:rFonts w:eastAsia="Calibri" w:cs="Calibri" w:cstheme="minorHAnsi"/>
                <w:spacing w:val="-10"/>
                <w:kern w:val="0"/>
                <w:sz w:val="22"/>
                <w:szCs w:val="22"/>
                <w:lang w:val="pl-PL" w:eastAsia="en-US" w:bidi="ar-SA"/>
              </w:rPr>
              <w:t>[stanowisko]</w:t>
            </w:r>
          </w:p>
          <w:p>
            <w:pPr>
              <w:pStyle w:val="Normal"/>
              <w:widowControl/>
              <w:suppressAutoHyphens w:val="true"/>
              <w:spacing w:lineRule="auto" w:line="259" w:before="60" w:after="60"/>
              <w:jc w:val="center"/>
              <w:rPr>
                <w:rFonts w:cs="Calibri" w:cstheme="minorHAnsi"/>
                <w:sz w:val="18"/>
                <w:szCs w:val="18"/>
              </w:rPr>
            </w:pPr>
            <w:r>
              <w:rPr>
                <w:rFonts w:eastAsia="Calibri" w:cs="Calibri" w:cstheme="minorHAnsi"/>
                <w:kern w:val="0"/>
                <w:sz w:val="18"/>
                <w:szCs w:val="18"/>
                <w:lang w:val="pl-PL" w:eastAsia="en-US" w:bidi="ar-SA"/>
              </w:rPr>
              <w:t>/podpisano kwalifikowanym podpisem elektronicznym/**</w:t>
            </w:r>
          </w:p>
        </w:tc>
        <w:tc>
          <w:tcPr>
            <w:tcW w:w="4531" w:type="dxa"/>
            <w:tcBorders>
              <w:top w:val="nil"/>
              <w:left w:val="nil"/>
              <w:bottom w:val="nil"/>
              <w:right w:val="nil"/>
            </w:tcBorders>
          </w:tcPr>
          <w:p>
            <w:pPr>
              <w:pStyle w:val="Normal"/>
              <w:widowControl/>
              <w:suppressAutoHyphens w:val="true"/>
              <w:spacing w:lineRule="auto" w:line="259" w:before="60" w:after="60"/>
              <w:ind w:hanging="425" w:left="425"/>
              <w:jc w:val="center"/>
              <w:rPr>
                <w:rFonts w:cs="Calibri" w:cstheme="minorHAnsi"/>
              </w:rPr>
            </w:pPr>
            <w:r>
              <w:rPr>
                <w:rFonts w:cs="Calibri" w:cstheme="minorHAnsi"/>
                <w:sz w:val="22"/>
              </w:rPr>
            </w:r>
          </w:p>
          <w:p>
            <w:pPr>
              <w:pStyle w:val="Normal"/>
              <w:widowControl/>
              <w:suppressAutoHyphens w:val="true"/>
              <w:spacing w:lineRule="auto" w:line="259" w:before="60" w:after="60"/>
              <w:ind w:hanging="425" w:left="425"/>
              <w:jc w:val="center"/>
              <w:rPr>
                <w:rFonts w:cs="Calibri" w:cstheme="minorHAnsi"/>
              </w:rPr>
            </w:pPr>
            <w:r>
              <w:rPr>
                <w:rFonts w:eastAsia="Calibri" w:cs="Calibri" w:cstheme="minorHAnsi"/>
                <w:kern w:val="0"/>
                <w:sz w:val="22"/>
                <w:szCs w:val="22"/>
                <w:lang w:val="pl-PL" w:eastAsia="en-US" w:bidi="ar-SA"/>
              </w:rPr>
              <w:t>[imię i nazwisko osoby podpisującej]</w:t>
            </w:r>
          </w:p>
          <w:p>
            <w:pPr>
              <w:pStyle w:val="Normal"/>
              <w:widowControl/>
              <w:suppressAutoHyphens w:val="true"/>
              <w:spacing w:lineRule="auto" w:line="259" w:before="60" w:after="60"/>
              <w:ind w:hanging="425" w:left="425"/>
              <w:jc w:val="center"/>
              <w:rPr>
                <w:rFonts w:cs="Calibri" w:cstheme="minorHAnsi"/>
                <w:spacing w:val="-10"/>
              </w:rPr>
            </w:pPr>
            <w:r>
              <w:rPr>
                <w:rFonts w:eastAsia="Calibri" w:cs="Calibri" w:cstheme="minorHAnsi"/>
                <w:spacing w:val="-10"/>
                <w:kern w:val="0"/>
                <w:sz w:val="22"/>
                <w:szCs w:val="22"/>
                <w:lang w:val="pl-PL" w:eastAsia="en-US" w:bidi="ar-SA"/>
              </w:rPr>
              <w:t>[stanowisko]</w:t>
            </w:r>
          </w:p>
          <w:p>
            <w:pPr>
              <w:pStyle w:val="Normal"/>
              <w:widowControl/>
              <w:suppressAutoHyphens w:val="true"/>
              <w:spacing w:lineRule="auto" w:line="259" w:before="60" w:after="60"/>
              <w:jc w:val="center"/>
              <w:rPr>
                <w:rFonts w:cs="Calibri" w:cstheme="minorHAnsi"/>
                <w:sz w:val="18"/>
                <w:szCs w:val="18"/>
              </w:rPr>
            </w:pPr>
            <w:r>
              <w:rPr>
                <w:rFonts w:eastAsia="Calibri" w:cs="Calibri" w:cstheme="minorHAnsi"/>
                <w:kern w:val="0"/>
                <w:sz w:val="18"/>
                <w:szCs w:val="18"/>
                <w:lang w:val="pl-PL" w:eastAsia="en-US" w:bidi="ar-SA"/>
              </w:rPr>
              <w:t>/podpisano kwalifikowanym podpisem elektronicznym/**</w:t>
            </w:r>
          </w:p>
        </w:tc>
      </w:tr>
    </w:tbl>
    <w:p>
      <w:pPr>
        <w:pStyle w:val="FootnoteText"/>
        <w:spacing w:lineRule="auto" w:line="259" w:before="60" w:after="60"/>
        <w:jc w:val="both"/>
        <w:rPr>
          <w:rFonts w:cs="Calibri" w:cstheme="minorHAnsi"/>
          <w:sz w:val="18"/>
          <w:szCs w:val="18"/>
        </w:rPr>
      </w:pPr>
      <w:r>
        <w:rPr>
          <w:rFonts w:cs="Calibri" w:cstheme="minorHAnsi"/>
          <w:sz w:val="18"/>
          <w:szCs w:val="18"/>
        </w:rPr>
        <w:t>* wykreślić, jeżeli umowa ma być podpisana w formie elektronicznej tj. przy użyciu kwalifikowanego podpisu elektronicznego</w:t>
      </w:r>
    </w:p>
    <w:p>
      <w:pPr>
        <w:pStyle w:val="FootnoteText"/>
        <w:spacing w:lineRule="auto" w:line="259" w:before="60" w:after="60"/>
        <w:jc w:val="both"/>
        <w:rPr>
          <w:rFonts w:eastAsia="Times New Roman" w:cs="Calibri" w:cstheme="minorHAnsi"/>
          <w:sz w:val="18"/>
          <w:szCs w:val="18"/>
          <w:lang w:eastAsia="pl-PL"/>
        </w:rPr>
      </w:pPr>
      <w:r>
        <w:rPr>
          <w:rFonts w:cs="Calibri" w:cstheme="minorHAnsi"/>
          <w:sz w:val="18"/>
          <w:szCs w:val="18"/>
        </w:rPr>
        <w:t>** wykreślić, jeżeli umowa ma być podpisana w zwykłej formie pisemnej</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libri Light">
    <w:charset w:val="ee"/>
    <w:family w:val="roman"/>
    <w:pitch w:val="variable"/>
  </w:font>
  <w:font w:name="Segoe UI">
    <w:charset w:val="ee"/>
    <w:family w:val="swiss"/>
    <w:pitch w:val="variable"/>
  </w:font>
  <w:font w:name="Cambria">
    <w:charset w:val="ee"/>
    <w:family w:val="roman"/>
    <w:pitch w:val="variable"/>
  </w:font>
  <w:font w:name="Liberation Sans">
    <w:altName w:val="Arial"/>
    <w:charset w:val="ee"/>
    <w:family w:val="swiss"/>
    <w:pitch w:val="variable"/>
  </w:font>
  <w:font w:name="Tahoma">
    <w:charset w:val="ee"/>
    <w:family w:val="swiss"/>
    <w:pitch w:val="variable"/>
  </w:font>
  <w:font w:name="Arial">
    <w:charset w:val="ee"/>
    <w:family w:val="swiss"/>
    <w:pitch w:val="variable"/>
  </w:font>
  <w:font w:name="Trebuchet MS">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18</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19</w:t>
    </w:r>
    <w:r>
      <w:rPr>
        <w:rFonts w:cs="Arial" w:ascii="Trebuchet MS" w:hAnsi="Trebuchet MS"/>
        <w:b/>
        <w:bCs/>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18</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19</w:t>
    </w:r>
    <w:r>
      <w:rPr>
        <w:rFonts w:cs="Arial" w:ascii="Trebuchet MS" w:hAnsi="Trebuchet MS"/>
        <w:b/>
        <w:b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right"/>
      <w:rPr>
        <w:rFonts w:ascii="Trebuchet MS" w:hAnsi="Trebuchet MS"/>
        <w:sz w:val="20"/>
        <w:szCs w:val="20"/>
      </w:rPr>
    </w:pPr>
    <w:r>
      <w:rPr>
        <w:rFonts w:ascii="Trebuchet MS" w:hAnsi="Trebuchet MS"/>
        <w:color w:themeColor="text1" w:themeTint="bf" w:val="404040"/>
        <w:sz w:val="20"/>
        <w:szCs w:val="20"/>
      </w:rPr>
      <w:br/>
      <w:t>TOM II - Projektowane Postanowienia Umowy</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right"/>
      <w:rPr>
        <w:rFonts w:ascii="Trebuchet MS" w:hAnsi="Trebuchet MS"/>
        <w:sz w:val="20"/>
        <w:szCs w:val="20"/>
      </w:rPr>
    </w:pPr>
    <w:r>
      <w:rPr>
        <w:rFonts w:ascii="Trebuchet MS" w:hAnsi="Trebuchet MS"/>
        <w:color w:themeColor="text1" w:themeTint="bf" w:val="404040"/>
        <w:sz w:val="20"/>
        <w:szCs w:val="20"/>
      </w:rPr>
      <w:br/>
      <w:t>TOM II - Projektowane Postanowienia Umowy</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rFonts w:ascii="Arial" w:hAnsi="Arial" w:cs="Arial"/>
      </w:rPr>
    </w:lvl>
    <w:lvl w:ilvl="8">
      <w:start w:val="1"/>
      <w:numFmt w:val="lowerRoman"/>
      <w:lvlText w:val="%9."/>
      <w:lvlJc w:val="left"/>
      <w:pPr>
        <w:tabs>
          <w:tab w:val="num" w:pos="3240"/>
        </w:tabs>
        <w:ind w:left="3240" w:hanging="360"/>
      </w:pPr>
      <w:rPr/>
    </w:lvl>
  </w:abstractNum>
  <w:abstractNum w:abstractNumId="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6">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sz w:val="22"/>
        <w:szCs w:val="22"/>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9">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0">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11">
    <w:lvl w:ilvl="0">
      <w:start w:val="1"/>
      <w:numFmt w:val="ordinal"/>
      <w:lvlText w:val="%1"/>
      <w:lvlJc w:val="left"/>
      <w:pPr>
        <w:tabs>
          <w:tab w:val="num" w:pos="0"/>
        </w:tabs>
        <w:ind w:left="360" w:hanging="360"/>
      </w:pPr>
      <w:rPr>
        <w:b w:val="false"/>
        <w:strike w:val="false"/>
        <w:dstrike w:val="false"/>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12">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13">
    <w:lvl w:ilvl="0">
      <w:start w:val="1"/>
      <w:numFmt w:val="decimal"/>
      <w:lvlText w:val="%1."/>
      <w:lvlJc w:val="left"/>
      <w:pPr>
        <w:tabs>
          <w:tab w:val="num" w:pos="0"/>
        </w:tabs>
        <w:ind w:left="0" w:hanging="0"/>
      </w:pPr>
      <w:rPr>
        <w:rFonts w:ascii="Calibri" w:hAnsi="Calibri"/>
        <w:b w:val="false"/>
        <w:i w:val="false"/>
        <w:color w:val="auto"/>
        <w:sz w:val="22"/>
      </w:rPr>
    </w:lvl>
    <w:lvl w:ilvl="1">
      <w:start w:val="1"/>
      <w:numFmt w:val="decimal"/>
      <w:lvlText w:val="%1.%2."/>
      <w:lvlJc w:val="left"/>
      <w:pPr>
        <w:tabs>
          <w:tab w:val="num" w:pos="0"/>
        </w:tabs>
        <w:ind w:left="0" w:hanging="0"/>
      </w:pPr>
      <w:rPr>
        <w:rFonts w:ascii="Calibri" w:hAnsi="Calibri"/>
        <w:b w:val="false"/>
        <w:i w:val="false"/>
        <w:sz w:val="22"/>
      </w:rPr>
    </w:lvl>
    <w:lvl w:ilvl="2">
      <w:start w:val="1"/>
      <w:numFmt w:val="decimal"/>
      <w:lvlText w:val="%1.%2.%3."/>
      <w:lvlJc w:val="left"/>
      <w:pPr>
        <w:tabs>
          <w:tab w:val="num" w:pos="0"/>
        </w:tabs>
        <w:ind w:left="0" w:hanging="0"/>
      </w:pPr>
      <w:rPr>
        <w:rFonts w:ascii="Calibri" w:hAnsi="Calibri"/>
        <w:b w:val="false"/>
        <w:i w:val="false"/>
        <w:color w:val="auto"/>
        <w:sz w:val="22"/>
      </w:rPr>
    </w:lvl>
    <w:lvl w:ilvl="3">
      <w:start w:val="1"/>
      <w:numFmt w:val="decimal"/>
      <w:lvlText w:val="%1.%2.%3.%4."/>
      <w:lvlJc w:val="left"/>
      <w:pPr>
        <w:tabs>
          <w:tab w:val="num" w:pos="0"/>
        </w:tabs>
        <w:ind w:left="0" w:hanging="0"/>
      </w:pPr>
      <w:rPr>
        <w:rFonts w:ascii="Calibri" w:hAnsi="Calibri"/>
        <w:b w:val="false"/>
        <w:i w:val="false"/>
        <w:color w:val="auto"/>
        <w:sz w:val="22"/>
      </w:rPr>
    </w:lvl>
    <w:lvl w:ilvl="4">
      <w:start w:val="1"/>
      <w:numFmt w:val="decimal"/>
      <w:lvlText w:val="%1.%2.%3.%4.%5."/>
      <w:lvlJc w:val="left"/>
      <w:pPr>
        <w:tabs>
          <w:tab w:val="num" w:pos="0"/>
        </w:tabs>
        <w:ind w:left="0" w:hanging="0"/>
      </w:pPr>
      <w:rPr>
        <w:rFonts w:ascii="Calibri" w:hAnsi="Calibri"/>
        <w:b/>
        <w:i w:val="false"/>
        <w:color w:val="auto"/>
        <w:sz w:val="22"/>
      </w:rPr>
    </w:lvl>
    <w:lvl w:ilvl="5">
      <w:start w:val="1"/>
      <w:numFmt w:val="decimal"/>
      <w:lvlText w:val="%1.%2.%3.%4.%5.%6."/>
      <w:lvlJc w:val="left"/>
      <w:pPr>
        <w:tabs>
          <w:tab w:val="num" w:pos="0"/>
        </w:tabs>
        <w:ind w:left="0" w:hanging="0"/>
      </w:pPr>
      <w:rPr>
        <w:rFonts w:ascii="Calibri" w:hAnsi="Calibri"/>
        <w:b/>
        <w:i w:val="false"/>
        <w:color w:val="auto"/>
        <w:sz w:val="22"/>
      </w:rPr>
    </w:lvl>
    <w:lvl w:ilvl="6">
      <w:start w:val="1"/>
      <w:numFmt w:val="decimal"/>
      <w:lvlText w:val="%1.%2.%3.%4.%5.%6.%7."/>
      <w:lvlJc w:val="left"/>
      <w:pPr>
        <w:tabs>
          <w:tab w:val="num" w:pos="0"/>
        </w:tabs>
        <w:ind w:left="0" w:hanging="0"/>
      </w:pPr>
      <w:rPr>
        <w:rFonts w:ascii="Calibri" w:hAnsi="Calibri"/>
        <w:b/>
        <w:i w:val="false"/>
        <w:color w:val="auto"/>
        <w:sz w:val="22"/>
      </w:rPr>
    </w:lvl>
    <w:lvl w:ilvl="7">
      <w:start w:val="1"/>
      <w:numFmt w:val="decimal"/>
      <w:lvlText w:val="%1.%2.%3.%4.%5.%6.%7.%8."/>
      <w:lvlJc w:val="left"/>
      <w:pPr>
        <w:tabs>
          <w:tab w:val="num" w:pos="0"/>
        </w:tabs>
        <w:ind w:left="0" w:hanging="0"/>
      </w:pPr>
      <w:rPr>
        <w:rFonts w:ascii="Calibri" w:hAnsi="Calibri"/>
        <w:b/>
        <w:i w:val="false"/>
        <w:color w:val="auto"/>
        <w:sz w:val="22"/>
      </w:rPr>
    </w:lvl>
    <w:lvl w:ilvl="8">
      <w:start w:val="1"/>
      <w:numFmt w:val="decimal"/>
      <w:lvlText w:val="%1.%2.%3.%4.%5.%6.%7.%8.%9."/>
      <w:lvlJc w:val="left"/>
      <w:pPr>
        <w:tabs>
          <w:tab w:val="num" w:pos="0"/>
        </w:tabs>
        <w:ind w:left="0" w:hanging="0"/>
      </w:pPr>
      <w:rPr>
        <w:rFonts w:ascii="Calibri" w:hAnsi="Calibri"/>
        <w:b/>
        <w:i w:val="false"/>
        <w:color w:val="auto"/>
        <w:sz w:val="22"/>
      </w:rPr>
    </w:lvl>
  </w:abstractNum>
  <w:abstractNum w:abstractNumId="1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6">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7">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8">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20">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1">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2">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3">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4">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5">
    <w:lvl w:ilvl="0">
      <w:start w:val="1"/>
      <w:numFmt w:val="decimal"/>
      <w:lvlText w:val="%1)"/>
      <w:lvlJc w:val="left"/>
      <w:pPr>
        <w:tabs>
          <w:tab w:val="num" w:pos="0"/>
        </w:tabs>
        <w:ind w:left="720" w:hanging="360"/>
      </w:pPr>
      <w:rPr>
        <w:rFonts w:ascii="Calibri" w:hAnsi="Calibri" w:eastAsia="Calibri" w:cs="Calibri" w:asciiTheme="minorHAnsi" w:cstheme="minorHAnsi" w:eastAsiaTheme="minorHAnsi" w:hAnsiTheme="minorHAnsi"/>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rFonts w:ascii="Arial" w:hAnsi="Arial" w:cs="Arial"/>
      </w:rPr>
    </w:lvl>
    <w:lvl w:ilvl="8">
      <w:start w:val="1"/>
      <w:numFmt w:val="lowerRoman"/>
      <w:lvlText w:val="%9."/>
      <w:lvlJc w:val="left"/>
      <w:pPr>
        <w:tabs>
          <w:tab w:val="num" w:pos="3240"/>
        </w:tabs>
        <w:ind w:left="3240" w:hanging="360"/>
      </w:pPr>
      <w:rPr/>
    </w:lvl>
  </w:abstractNum>
  <w:abstractNum w:abstractNumId="28">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6">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8">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9">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40">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percent="130"/>
  <w:defaultTabStop w:val="709"/>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2cb8"/>
    <w:pPr>
      <w:widowControl/>
      <w:suppressAutoHyphens w:val="true"/>
      <w:bidi w:val="0"/>
      <w:spacing w:lineRule="auto" w:line="276" w:before="0" w:after="12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link w:val="Nagwek1Znak"/>
    <w:uiPriority w:val="9"/>
    <w:qFormat/>
    <w:rsid w:val="007c13b0"/>
    <w:pPr>
      <w:spacing w:lineRule="auto" w:line="240" w:beforeAutospacing="1" w:afterAutospacing="1"/>
      <w:outlineLvl w:val="0"/>
    </w:pPr>
    <w:rPr>
      <w:rFonts w:ascii="Times New Roman" w:hAnsi="Times New Roman" w:eastAsia="Times New Roman" w:cs="Times New Roman"/>
      <w:b/>
      <w:bCs/>
      <w:kern w:val="2"/>
      <w:sz w:val="48"/>
      <w:szCs w:val="48"/>
      <w:lang w:eastAsia="pl-PL"/>
    </w:rPr>
  </w:style>
  <w:style w:type="paragraph" w:styleId="Heading2">
    <w:name w:val="heading 2"/>
    <w:basedOn w:val="Normal"/>
    <w:next w:val="Normal"/>
    <w:link w:val="Nagwek2Znak"/>
    <w:uiPriority w:val="9"/>
    <w:unhideWhenUsed/>
    <w:qFormat/>
    <w:rsid w:val="000d38a2"/>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1657e6"/>
    <w:rPr>
      <w:rFonts w:ascii="Segoe UI" w:hAnsi="Segoe UI" w:cs="Segoe UI"/>
      <w:sz w:val="18"/>
      <w:szCs w:val="18"/>
    </w:rPr>
  </w:style>
  <w:style w:type="character" w:styleId="Hyperlink">
    <w:name w:val="Hyperlink"/>
    <w:basedOn w:val="DefaultParagraphFont"/>
    <w:uiPriority w:val="99"/>
    <w:unhideWhenUsed/>
    <w:rsid w:val="001657e6"/>
    <w:rPr>
      <w:color w:themeColor="hyperlink" w:val="0563C1"/>
      <w:u w:val="single"/>
    </w:rPr>
  </w:style>
  <w:style w:type="character" w:styleId="normaltextrun" w:customStyle="1">
    <w:name w:val="normaltextrun"/>
    <w:basedOn w:val="DefaultParagraphFont"/>
    <w:qFormat/>
    <w:rsid w:val="001657e6"/>
    <w:rPr/>
  </w:style>
  <w:style w:type="character" w:styleId="CommentReference">
    <w:name w:val="annotation reference"/>
    <w:basedOn w:val="DefaultParagraphFont"/>
    <w:uiPriority w:val="99"/>
    <w:unhideWhenUsed/>
    <w:qFormat/>
    <w:rsid w:val="001657e6"/>
    <w:rPr>
      <w:sz w:val="16"/>
      <w:szCs w:val="16"/>
    </w:rPr>
  </w:style>
  <w:style w:type="character" w:styleId="TekstkomentarzaZnak" w:customStyle="1">
    <w:name w:val="Tekst komentarza Znak"/>
    <w:basedOn w:val="DefaultParagraphFont"/>
    <w:link w:val="CommentText"/>
    <w:uiPriority w:val="99"/>
    <w:qFormat/>
    <w:rsid w:val="001657e6"/>
    <w:rPr>
      <w:sz w:val="20"/>
      <w:szCs w:val="20"/>
    </w:rPr>
  </w:style>
  <w:style w:type="character" w:styleId="NagwekZnak" w:customStyle="1">
    <w:name w:val="Nagłówek Znak"/>
    <w:basedOn w:val="DefaultParagraphFont"/>
    <w:uiPriority w:val="99"/>
    <w:qFormat/>
    <w:rsid w:val="001657e6"/>
    <w:rPr/>
  </w:style>
  <w:style w:type="character" w:styleId="StopkaZnak" w:customStyle="1">
    <w:name w:val="Stopka Znak"/>
    <w:basedOn w:val="DefaultParagraphFont"/>
    <w:uiPriority w:val="99"/>
    <w:qFormat/>
    <w:rsid w:val="001657e6"/>
    <w:rPr/>
  </w:style>
  <w:style w:type="character" w:styleId="TematkomentarzaZnak" w:customStyle="1">
    <w:name w:val="Temat komentarza Znak"/>
    <w:basedOn w:val="TekstkomentarzaZnak"/>
    <w:link w:val="annotationsubject"/>
    <w:uiPriority w:val="99"/>
    <w:semiHidden/>
    <w:qFormat/>
    <w:rsid w:val="001657e6"/>
    <w:rPr>
      <w:b/>
      <w:bCs/>
      <w:sz w:val="20"/>
      <w:szCs w:val="20"/>
    </w:rPr>
  </w:style>
  <w:style w:type="character" w:styleId="AkapitzlistZnak" w:customStyle="1">
    <w:name w:val="Akapit z listą Znak"/>
    <w:link w:val="ListParagraph"/>
    <w:uiPriority w:val="34"/>
    <w:qFormat/>
    <w:rsid w:val="00806d84"/>
    <w:rPr/>
  </w:style>
  <w:style w:type="character" w:styleId="TekstprzypisukocowegoZnak" w:customStyle="1">
    <w:name w:val="Tekst przypisu końcowego Znak"/>
    <w:basedOn w:val="DefaultParagraphFont"/>
    <w:uiPriority w:val="99"/>
    <w:semiHidden/>
    <w:qFormat/>
    <w:rsid w:val="008d4f41"/>
    <w:rPr>
      <w:sz w:val="20"/>
      <w:szCs w:val="20"/>
    </w:rPr>
  </w:style>
  <w:style w:type="character" w:styleId="Znakiprzypiswkocowych">
    <w:name w:val="Znaki przypisów końcowych"/>
    <w:uiPriority w:val="99"/>
    <w:semiHidden/>
    <w:unhideWhenUsed/>
    <w:qFormat/>
    <w:rsid w:val="008d4f41"/>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TekstpodstawowyZnak" w:customStyle="1">
    <w:name w:val="Tekst podstawowy Znak"/>
    <w:basedOn w:val="DefaultParagraphFont"/>
    <w:qFormat/>
    <w:rsid w:val="00ea2e34"/>
    <w:rPr>
      <w:rFonts w:ascii="Times New Roman" w:hAnsi="Times New Roman" w:eastAsia="Times New Roman" w:cs="Times New Roman"/>
      <w:sz w:val="24"/>
      <w:szCs w:val="24"/>
      <w:lang w:eastAsia="pl-PL"/>
    </w:rPr>
  </w:style>
  <w:style w:type="character" w:styleId="FontStyle22" w:customStyle="1">
    <w:name w:val="Font Style22"/>
    <w:basedOn w:val="DefaultParagraphFont"/>
    <w:uiPriority w:val="99"/>
    <w:qFormat/>
    <w:rsid w:val="000164fb"/>
    <w:rPr>
      <w:rFonts w:ascii="Calibri" w:hAnsi="Calibri" w:cs="Calibri"/>
      <w:b/>
      <w:bCs/>
      <w:sz w:val="24"/>
      <w:szCs w:val="24"/>
    </w:rPr>
  </w:style>
  <w:style w:type="character" w:styleId="TekstprzypisudolnegoZnak" w:customStyle="1">
    <w:name w:val="Tekst przypisu dolnego Znak"/>
    <w:basedOn w:val="DefaultParagraphFont"/>
    <w:uiPriority w:val="99"/>
    <w:qFormat/>
    <w:rsid w:val="00302eff"/>
    <w:rPr>
      <w:sz w:val="20"/>
      <w:szCs w:val="20"/>
    </w:rPr>
  </w:style>
  <w:style w:type="character" w:styleId="Znakiprzypiswdolnych">
    <w:name w:val="Znaki przypisów dolnych"/>
    <w:uiPriority w:val="99"/>
    <w:semiHidden/>
    <w:unhideWhenUsed/>
    <w:qFormat/>
    <w:rsid w:val="00302eff"/>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ntStyle18" w:customStyle="1">
    <w:name w:val="Font Style18"/>
    <w:qFormat/>
    <w:rsid w:val="00996966"/>
    <w:rPr>
      <w:rFonts w:ascii="Times New Roman" w:hAnsi="Times New Roman" w:cs="Times New Roman"/>
      <w:sz w:val="22"/>
      <w:szCs w:val="22"/>
    </w:rPr>
  </w:style>
  <w:style w:type="character" w:styleId="ListParagraphChar" w:customStyle="1">
    <w:name w:val="List Paragraph Char"/>
    <w:link w:val="Akapitzlist1"/>
    <w:qFormat/>
    <w:locked/>
    <w:rsid w:val="00976222"/>
    <w:rPr>
      <w:rFonts w:ascii="Times New Roman" w:hAnsi="Times New Roman" w:eastAsia="Times New Roman" w:cs="Times New Roman"/>
      <w:sz w:val="24"/>
      <w:szCs w:val="24"/>
      <w:lang w:eastAsia="pl-PL"/>
    </w:rPr>
  </w:style>
  <w:style w:type="character" w:styleId="UnresolvedMention">
    <w:name w:val="Unresolved Mention"/>
    <w:basedOn w:val="DefaultParagraphFont"/>
    <w:uiPriority w:val="99"/>
    <w:semiHidden/>
    <w:unhideWhenUsed/>
    <w:qFormat/>
    <w:rsid w:val="001672f8"/>
    <w:rPr>
      <w:color w:val="605E5C"/>
      <w:shd w:fill="E1DFDD" w:val="clear"/>
    </w:rPr>
  </w:style>
  <w:style w:type="character" w:styleId="Nagwek1Znak" w:customStyle="1">
    <w:name w:val="Nagłówek 1 Znak"/>
    <w:basedOn w:val="DefaultParagraphFont"/>
    <w:uiPriority w:val="9"/>
    <w:qFormat/>
    <w:rsid w:val="007c13b0"/>
    <w:rPr>
      <w:rFonts w:ascii="Times New Roman" w:hAnsi="Times New Roman" w:eastAsia="Times New Roman" w:cs="Times New Roman"/>
      <w:b/>
      <w:bCs/>
      <w:kern w:val="2"/>
      <w:sz w:val="48"/>
      <w:szCs w:val="48"/>
      <w:lang w:eastAsia="pl-PL"/>
    </w:rPr>
  </w:style>
  <w:style w:type="character" w:styleId="FontStyle28" w:customStyle="1">
    <w:name w:val="Font Style28"/>
    <w:qFormat/>
    <w:rsid w:val="008a63e1"/>
    <w:rPr>
      <w:rFonts w:ascii="Times New Roman" w:hAnsi="Times New Roman" w:cs="Times New Roman"/>
      <w:b/>
      <w:bCs/>
      <w:sz w:val="26"/>
      <w:szCs w:val="26"/>
    </w:rPr>
  </w:style>
  <w:style w:type="character" w:styleId="FontStyle104" w:customStyle="1">
    <w:name w:val="Font Style104"/>
    <w:basedOn w:val="DefaultParagraphFont"/>
    <w:uiPriority w:val="99"/>
    <w:qFormat/>
    <w:rsid w:val="00073b31"/>
    <w:rPr>
      <w:rFonts w:ascii="Cambria" w:hAnsi="Cambria" w:cs="Cambria"/>
      <w:sz w:val="18"/>
      <w:szCs w:val="18"/>
    </w:rPr>
  </w:style>
  <w:style w:type="character" w:styleId="Nagwek2Znak" w:customStyle="1">
    <w:name w:val="Nagłówek 2 Znak"/>
    <w:basedOn w:val="DefaultParagraphFont"/>
    <w:uiPriority w:val="9"/>
    <w:qFormat/>
    <w:rsid w:val="000d38a2"/>
    <w:rPr>
      <w:rFonts w:ascii="Calibri Light" w:hAnsi="Calibri Light" w:eastAsia="" w:cs="" w:asciiTheme="majorHAnsi" w:cstheme="majorBidi" w:eastAsiaTheme="majorEastAsia" w:hAnsiTheme="majorHAnsi"/>
      <w:color w:themeColor="accent1" w:themeShade="bf" w:val="2F5496"/>
      <w:sz w:val="26"/>
      <w:szCs w:val="26"/>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ea2e34"/>
    <w:pPr>
      <w:spacing w:lineRule="auto" w:line="240"/>
      <w:ind w:left="363"/>
    </w:pPr>
    <w:rPr>
      <w:rFonts w:ascii="Times New Roman" w:hAnsi="Times New Roman" w:eastAsia="Times New Roman" w:cs="Times New Roman"/>
      <w:sz w:val="24"/>
      <w:szCs w:val="24"/>
      <w:lang w:eastAsia="pl-P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ListParagraph">
    <w:name w:val="List Paragraph"/>
    <w:basedOn w:val="Normal"/>
    <w:link w:val="AkapitzlistZnak"/>
    <w:uiPriority w:val="34"/>
    <w:qFormat/>
    <w:rsid w:val="00c3181b"/>
    <w:pPr>
      <w:spacing w:before="0" w:after="120"/>
      <w:ind w:left="720"/>
      <w:contextualSpacing/>
    </w:pPr>
    <w:rPr/>
  </w:style>
  <w:style w:type="paragraph" w:styleId="BalloonText">
    <w:name w:val="Balloon Text"/>
    <w:basedOn w:val="Normal"/>
    <w:link w:val="TekstdymkaZnak"/>
    <w:uiPriority w:val="99"/>
    <w:semiHidden/>
    <w:unhideWhenUsed/>
    <w:qFormat/>
    <w:rsid w:val="001657e6"/>
    <w:pPr>
      <w:spacing w:lineRule="auto" w:line="240" w:before="0" w:after="0"/>
    </w:pPr>
    <w:rPr>
      <w:rFonts w:ascii="Segoe UI" w:hAnsi="Segoe UI" w:cs="Segoe UI"/>
      <w:sz w:val="18"/>
      <w:szCs w:val="18"/>
    </w:rPr>
  </w:style>
  <w:style w:type="paragraph" w:styleId="CommentText">
    <w:name w:val="annotation text"/>
    <w:basedOn w:val="Normal"/>
    <w:link w:val="TekstkomentarzaZnak"/>
    <w:uiPriority w:val="99"/>
    <w:unhideWhenUsed/>
    <w:rsid w:val="001657e6"/>
    <w:pPr>
      <w:spacing w:lineRule="auto" w:line="240"/>
    </w:pPr>
    <w:rPr>
      <w:sz w:val="20"/>
      <w:szCs w:val="20"/>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Header">
    <w:name w:val="header"/>
    <w:basedOn w:val="Normal"/>
    <w:link w:val="NagwekZnak"/>
    <w:uiPriority w:val="99"/>
    <w:unhideWhenUsed/>
    <w:rsid w:val="001657e6"/>
    <w:pPr>
      <w:tabs>
        <w:tab w:val="clear" w:pos="709"/>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1657e6"/>
    <w:pPr>
      <w:tabs>
        <w:tab w:val="clear" w:pos="709"/>
        <w:tab w:val="center" w:pos="4536" w:leader="none"/>
        <w:tab w:val="right" w:pos="9072" w:leader="none"/>
      </w:tabs>
      <w:spacing w:lineRule="auto" w:line="240" w:before="0" w:after="0"/>
    </w:pPr>
    <w:rPr/>
  </w:style>
  <w:style w:type="paragraph" w:styleId="annotationsubject">
    <w:name w:val="annotation subject"/>
    <w:basedOn w:val="CommentText"/>
    <w:next w:val="CommentText"/>
    <w:link w:val="TematkomentarzaZnak"/>
    <w:uiPriority w:val="99"/>
    <w:semiHidden/>
    <w:unhideWhenUsed/>
    <w:qFormat/>
    <w:rsid w:val="001657e6"/>
    <w:pPr/>
    <w:rPr>
      <w:b/>
      <w:bCs/>
    </w:rPr>
  </w:style>
  <w:style w:type="paragraph" w:styleId="Revision">
    <w:name w:val="Revision"/>
    <w:uiPriority w:val="99"/>
    <w:semiHidden/>
    <w:qFormat/>
    <w:rsid w:val="007b150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EndnoteText">
    <w:name w:val="endnote text"/>
    <w:basedOn w:val="Normal"/>
    <w:link w:val="TekstprzypisukocowegoZnak"/>
    <w:uiPriority w:val="99"/>
    <w:semiHidden/>
    <w:unhideWhenUsed/>
    <w:rsid w:val="008d4f41"/>
    <w:pPr>
      <w:spacing w:lineRule="auto" w:line="240" w:before="0" w:after="0"/>
    </w:pPr>
    <w:rPr>
      <w:sz w:val="20"/>
      <w:szCs w:val="20"/>
    </w:rPr>
  </w:style>
  <w:style w:type="paragraph" w:styleId="Style31" w:customStyle="1">
    <w:name w:val="Style3"/>
    <w:basedOn w:val="Normal"/>
    <w:uiPriority w:val="99"/>
    <w:qFormat/>
    <w:rsid w:val="000164fb"/>
    <w:pPr>
      <w:widowControl w:val="false"/>
      <w:spacing w:lineRule="exact" w:line="293" w:before="0" w:after="0"/>
    </w:pPr>
    <w:rPr>
      <w:rFonts w:ascii="Calibri" w:hAnsi="Calibri" w:eastAsia="" w:eastAsiaTheme="minorEastAsia"/>
      <w:sz w:val="24"/>
      <w:szCs w:val="24"/>
      <w:lang w:eastAsia="pl-PL"/>
    </w:rPr>
  </w:style>
  <w:style w:type="paragraph" w:styleId="FootnoteText">
    <w:name w:val="footnote text"/>
    <w:basedOn w:val="Normal"/>
    <w:link w:val="TekstprzypisudolnegoZnak"/>
    <w:uiPriority w:val="99"/>
    <w:unhideWhenUsed/>
    <w:rsid w:val="00302eff"/>
    <w:pPr>
      <w:spacing w:lineRule="auto" w:line="240" w:before="0" w:after="0"/>
    </w:pPr>
    <w:rPr>
      <w:sz w:val="20"/>
      <w:szCs w:val="20"/>
    </w:rPr>
  </w:style>
  <w:style w:type="paragraph" w:styleId="Punkt" w:customStyle="1">
    <w:name w:val="Punkt"/>
    <w:basedOn w:val="BodyText"/>
    <w:qFormat/>
    <w:rsid w:val="008a288d"/>
    <w:pPr>
      <w:suppressAutoHyphens w:val="true"/>
      <w:spacing w:before="0" w:after="160"/>
      <w:ind w:left="0"/>
      <w:jc w:val="both"/>
      <w:textAlignment w:val="baseline"/>
    </w:pPr>
    <w:rPr>
      <w:rFonts w:ascii="Tahoma" w:hAnsi="Tahoma"/>
      <w:sz w:val="20"/>
    </w:rPr>
  </w:style>
  <w:style w:type="paragraph" w:styleId="Akapitzlist1" w:customStyle="1">
    <w:name w:val="Akapit z listą1"/>
    <w:basedOn w:val="Normal"/>
    <w:link w:val="ListParagraphChar"/>
    <w:qFormat/>
    <w:rsid w:val="00976222"/>
    <w:pPr>
      <w:spacing w:lineRule="auto" w:line="240" w:before="0" w:after="0"/>
      <w:ind w:left="708"/>
    </w:pPr>
    <w:rPr>
      <w:rFonts w:ascii="Times New Roman" w:hAnsi="Times New Roman" w:eastAsia="Times New Roman" w:cs="Times New Roman"/>
      <w:sz w:val="24"/>
      <w:szCs w:val="24"/>
      <w:lang w:eastAsia="pl-PL"/>
    </w:rPr>
  </w:style>
  <w:style w:type="paragraph" w:styleId="OPZLista1" w:customStyle="1">
    <w:name w:val="OPZ_Lista.1"/>
    <w:basedOn w:val="Normal"/>
    <w:qFormat/>
    <w:rsid w:val="009f6b8d"/>
    <w:pPr>
      <w:numPr>
        <w:ilvl w:val="0"/>
        <w:numId w:val="13"/>
      </w:numPr>
      <w:spacing w:before="160" w:after="160"/>
      <w:jc w:val="both"/>
    </w:pPr>
    <w:rPr>
      <w:rFonts w:ascii="Calibri" w:hAnsi="Calibri" w:eastAsia="Times New Roman" w:cs="Times New Roman"/>
      <w:sz w:val="24"/>
      <w:szCs w:val="24"/>
      <w:lang w:val="en-US" w:eastAsia="pl-PL"/>
    </w:rPr>
  </w:style>
  <w:style w:type="paragraph" w:styleId="OPZLista2" w:customStyle="1">
    <w:name w:val="OPZ_Lista.2"/>
    <w:basedOn w:val="Normal"/>
    <w:qFormat/>
    <w:rsid w:val="005e7696"/>
    <w:pPr>
      <w:numPr>
        <w:ilvl w:val="1"/>
        <w:numId w:val="13"/>
      </w:numPr>
      <w:spacing w:before="160" w:after="160"/>
      <w:jc w:val="both"/>
    </w:pPr>
    <w:rPr>
      <w:rFonts w:ascii="Calibri" w:hAnsi="Calibri" w:eastAsia="Times New Roman" w:cs="Times New Roman"/>
      <w:sz w:val="24"/>
      <w:szCs w:val="24"/>
      <w:lang w:eastAsia="pl-PL"/>
    </w:rPr>
  </w:style>
  <w:style w:type="paragraph" w:styleId="OPZLista3" w:customStyle="1">
    <w:name w:val="OPZ_Lista.3"/>
    <w:basedOn w:val="Normal"/>
    <w:qFormat/>
    <w:rsid w:val="005e7696"/>
    <w:pPr>
      <w:numPr>
        <w:ilvl w:val="2"/>
        <w:numId w:val="13"/>
      </w:numPr>
      <w:spacing w:before="160" w:after="160"/>
      <w:jc w:val="both"/>
    </w:pPr>
    <w:rPr>
      <w:rFonts w:ascii="Calibri" w:hAnsi="Calibri" w:eastAsia="Times New Roman" w:cs="Times New Roman"/>
      <w:sz w:val="24"/>
      <w:szCs w:val="24"/>
      <w:lang w:eastAsia="pl-PL"/>
    </w:rPr>
  </w:style>
  <w:style w:type="paragraph" w:styleId="OPZLista4" w:customStyle="1">
    <w:name w:val="OPZ_Lista.4"/>
    <w:basedOn w:val="Normal"/>
    <w:qFormat/>
    <w:rsid w:val="005e7696"/>
    <w:pPr>
      <w:numPr>
        <w:ilvl w:val="3"/>
        <w:numId w:val="13"/>
      </w:numPr>
      <w:spacing w:before="160" w:after="160"/>
      <w:jc w:val="both"/>
    </w:pPr>
    <w:rPr>
      <w:rFonts w:ascii="Calibri" w:hAnsi="Calibri" w:eastAsia="Times New Roman" w:cs="Times New Roman"/>
      <w:sz w:val="24"/>
      <w:szCs w:val="24"/>
      <w:lang w:eastAsia="pl-PL"/>
    </w:rPr>
  </w:style>
  <w:style w:type="paragraph" w:styleId="OPZLista5" w:customStyle="1">
    <w:name w:val="OPZ_Lista.5"/>
    <w:basedOn w:val="Normal"/>
    <w:qFormat/>
    <w:rsid w:val="005e7696"/>
    <w:pPr>
      <w:numPr>
        <w:ilvl w:val="4"/>
        <w:numId w:val="13"/>
      </w:numPr>
      <w:spacing w:before="160" w:after="160"/>
      <w:jc w:val="both"/>
    </w:pPr>
    <w:rPr>
      <w:rFonts w:ascii="Calibri" w:hAnsi="Calibri" w:eastAsia="Times New Roman" w:cs="Times New Roman"/>
      <w:sz w:val="24"/>
      <w:szCs w:val="24"/>
      <w:lang w:eastAsia="pl-PL"/>
    </w:rPr>
  </w:style>
  <w:style w:type="paragraph" w:styleId="OPZLista6" w:customStyle="1">
    <w:name w:val="OPZ_Lista.6"/>
    <w:basedOn w:val="Normal"/>
    <w:qFormat/>
    <w:rsid w:val="005e7696"/>
    <w:pPr>
      <w:numPr>
        <w:ilvl w:val="5"/>
        <w:numId w:val="13"/>
      </w:numPr>
      <w:spacing w:before="160" w:after="160"/>
      <w:jc w:val="both"/>
    </w:pPr>
    <w:rPr>
      <w:rFonts w:ascii="Calibri" w:hAnsi="Calibri" w:eastAsia="Times New Roman" w:cs="Times New Roman"/>
      <w:sz w:val="24"/>
      <w:szCs w:val="24"/>
      <w:lang w:eastAsia="pl-PL"/>
    </w:rPr>
  </w:style>
  <w:style w:type="paragraph" w:styleId="OPZLista7" w:customStyle="1">
    <w:name w:val="OPZ_Lista.7"/>
    <w:basedOn w:val="Normal"/>
    <w:qFormat/>
    <w:rsid w:val="005e7696"/>
    <w:pPr>
      <w:numPr>
        <w:ilvl w:val="6"/>
        <w:numId w:val="13"/>
      </w:numPr>
      <w:spacing w:before="160" w:after="160"/>
      <w:jc w:val="both"/>
    </w:pPr>
    <w:rPr>
      <w:rFonts w:ascii="Calibri" w:hAnsi="Calibri" w:eastAsia="Times New Roman" w:cs="Times New Roman"/>
      <w:sz w:val="24"/>
      <w:szCs w:val="24"/>
      <w:lang w:eastAsia="pl-PL"/>
    </w:rPr>
  </w:style>
  <w:style w:type="paragraph" w:styleId="OPZLista8" w:customStyle="1">
    <w:name w:val="OPZ_Lista.8"/>
    <w:basedOn w:val="Normal"/>
    <w:qFormat/>
    <w:rsid w:val="005e7696"/>
    <w:pPr>
      <w:numPr>
        <w:ilvl w:val="7"/>
        <w:numId w:val="13"/>
      </w:numPr>
      <w:spacing w:before="160" w:after="160"/>
      <w:jc w:val="both"/>
    </w:pPr>
    <w:rPr>
      <w:rFonts w:ascii="Calibri" w:hAnsi="Calibri" w:eastAsia="Times New Roman" w:cs="Times New Roman"/>
      <w:sz w:val="24"/>
      <w:szCs w:val="24"/>
      <w:lang w:eastAsia="pl-PL"/>
    </w:rPr>
  </w:style>
  <w:style w:type="paragraph" w:styleId="OPZLista9" w:customStyle="1">
    <w:name w:val="OPZ_Lista.9"/>
    <w:basedOn w:val="Normal"/>
    <w:qFormat/>
    <w:rsid w:val="005e7696"/>
    <w:pPr>
      <w:numPr>
        <w:ilvl w:val="8"/>
        <w:numId w:val="13"/>
      </w:numPr>
      <w:spacing w:before="160" w:after="160"/>
      <w:jc w:val="both"/>
    </w:pPr>
    <w:rPr>
      <w:rFonts w:ascii="Calibri" w:hAnsi="Calibri" w:eastAsia="Times New Roman" w:cs="Times New Roman"/>
      <w:sz w:val="24"/>
      <w:szCs w:val="24"/>
      <w:lang w:eastAsia="pl-PL"/>
    </w:rPr>
  </w:style>
  <w:style w:type="paragraph" w:styleId="Default" w:customStyle="1">
    <w:name w:val="Default"/>
    <w:qFormat/>
    <w:rsid w:val="00d321a6"/>
    <w:pPr>
      <w:widowControl/>
      <w:suppressAutoHyphens w:val="true"/>
      <w:bidi w:val="0"/>
      <w:spacing w:lineRule="auto" w:line="240" w:before="0" w:after="0"/>
      <w:jc w:val="left"/>
    </w:pPr>
    <w:rPr>
      <w:rFonts w:ascii="Arial" w:hAnsi="Arial" w:eastAsia="Calibri" w:cs="Arial"/>
      <w:color w:val="000000"/>
      <w:kern w:val="0"/>
      <w:sz w:val="24"/>
      <w:szCs w:val="24"/>
      <w:lang w:val="pl-PL" w:eastAsia="en-US"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15115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503bc6"/>
    <w:pPr>
      <w:spacing w:after="0" w:line="240" w:lineRule="auto"/>
    </w:pPr>
    <w:rPr>
      <w:rFonts w:eastAsiaTheme="minorEastAsia"/>
      <w:sz w:val="24"/>
      <w:szCs w:val="24"/>
      <w:lang w:eastAsia="pl-PL"/>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2CBA-B180-42FD-9DEC-F3748FB2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Application>LibreOffice/26.2.4.2$Windows_X86_64 LibreOffice_project/0229ac93fcf0d7cbc6376066c6f35021cef002dc</Application>
  <AppVersion>15.0000</AppVersion>
  <Pages>19</Pages>
  <Words>8114</Words>
  <Characters>52006</Characters>
  <CharactersWithSpaces>59556</CharactersWithSpaces>
  <Paragraphs>334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2025-09-12T08:39:00Z</dcterms:created>
  <dc:creator/>
  <dc:description/>
  <dc:language>pl-PL</dc:language>
  <cp:lastModifiedBy/>
  <dcterms:modified xsi:type="dcterms:W3CDTF">2026-07-13T12:44:54Z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